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898A" w14:textId="3DB37B5E" w:rsidR="007E3455" w:rsidRPr="00D359B7" w:rsidRDefault="007E3455" w:rsidP="007E3455">
      <w:pPr>
        <w:pStyle w:val="NormalnyWeb"/>
        <w:spacing w:before="0" w:beforeAutospacing="0" w:after="0" w:afterAutospacing="0"/>
        <w:jc w:val="center"/>
        <w:rPr>
          <w:rFonts w:asciiTheme="minorHAnsi" w:hAnsiTheme="minorHAnsi" w:cstheme="minorHAnsi"/>
          <w:sz w:val="22"/>
          <w:szCs w:val="22"/>
        </w:rPr>
      </w:pPr>
      <w:r w:rsidRPr="00D359B7">
        <w:rPr>
          <w:rFonts w:asciiTheme="minorHAnsi" w:hAnsiTheme="minorHAnsi" w:cstheme="minorHAnsi"/>
          <w:b/>
          <w:bCs/>
          <w:color w:val="000000"/>
          <w:sz w:val="22"/>
          <w:szCs w:val="22"/>
        </w:rPr>
        <w:t xml:space="preserve">ZARZĄDZENIE DZIEKANA nr </w:t>
      </w:r>
      <w:r w:rsidR="00A24E14">
        <w:rPr>
          <w:rFonts w:asciiTheme="minorHAnsi" w:hAnsiTheme="minorHAnsi" w:cstheme="minorHAnsi"/>
          <w:b/>
          <w:bCs/>
          <w:color w:val="000000"/>
          <w:sz w:val="22"/>
          <w:szCs w:val="22"/>
        </w:rPr>
        <w:t>61</w:t>
      </w:r>
      <w:r w:rsidRPr="00D359B7">
        <w:rPr>
          <w:rFonts w:asciiTheme="minorHAnsi" w:hAnsiTheme="minorHAnsi" w:cstheme="minorHAnsi"/>
          <w:b/>
          <w:bCs/>
          <w:color w:val="000000"/>
          <w:sz w:val="22"/>
          <w:szCs w:val="22"/>
        </w:rPr>
        <w:t>/DZ/</w:t>
      </w:r>
      <w:r w:rsidRPr="00D359B7">
        <w:rPr>
          <w:rFonts w:asciiTheme="minorHAnsi" w:hAnsiTheme="minorHAnsi" w:cstheme="minorHAnsi"/>
          <w:b/>
          <w:bCs/>
          <w:sz w:val="22"/>
          <w:szCs w:val="22"/>
        </w:rPr>
        <w:t>2024-2028</w:t>
      </w:r>
    </w:p>
    <w:p w14:paraId="72802A6D" w14:textId="4695B5F5" w:rsidR="007E3455" w:rsidRPr="00D359B7" w:rsidRDefault="007E3455" w:rsidP="007E3455">
      <w:pPr>
        <w:pStyle w:val="NormalnyWeb"/>
        <w:spacing w:before="0" w:beforeAutospacing="0" w:after="0" w:afterAutospacing="0"/>
        <w:jc w:val="center"/>
        <w:rPr>
          <w:rFonts w:asciiTheme="minorHAnsi" w:hAnsiTheme="minorHAnsi" w:cstheme="minorHAnsi"/>
          <w:sz w:val="22"/>
          <w:szCs w:val="22"/>
        </w:rPr>
      </w:pPr>
      <w:r w:rsidRPr="00D359B7">
        <w:rPr>
          <w:rFonts w:asciiTheme="minorHAnsi" w:hAnsiTheme="minorHAnsi" w:cstheme="minorHAnsi"/>
          <w:b/>
          <w:bCs/>
          <w:color w:val="000000"/>
          <w:sz w:val="22"/>
          <w:szCs w:val="22"/>
        </w:rPr>
        <w:t xml:space="preserve">z dnia </w:t>
      </w:r>
      <w:r w:rsidR="00A24E14">
        <w:rPr>
          <w:rFonts w:asciiTheme="minorHAnsi" w:hAnsiTheme="minorHAnsi" w:cstheme="minorHAnsi"/>
          <w:b/>
          <w:bCs/>
          <w:color w:val="000000"/>
          <w:sz w:val="22"/>
          <w:szCs w:val="22"/>
        </w:rPr>
        <w:t>15</w:t>
      </w:r>
      <w:r w:rsidR="00F138A6">
        <w:rPr>
          <w:rFonts w:asciiTheme="minorHAnsi" w:hAnsiTheme="minorHAnsi" w:cstheme="minorHAnsi"/>
          <w:b/>
          <w:bCs/>
          <w:color w:val="000000"/>
          <w:sz w:val="22"/>
          <w:szCs w:val="22"/>
        </w:rPr>
        <w:t xml:space="preserve"> </w:t>
      </w:r>
      <w:r w:rsidR="00A24E14">
        <w:rPr>
          <w:rFonts w:asciiTheme="minorHAnsi" w:hAnsiTheme="minorHAnsi" w:cstheme="minorHAnsi"/>
          <w:b/>
          <w:bCs/>
          <w:color w:val="000000"/>
          <w:sz w:val="22"/>
          <w:szCs w:val="22"/>
        </w:rPr>
        <w:t>lipca</w:t>
      </w:r>
      <w:r w:rsidRPr="00D359B7">
        <w:rPr>
          <w:rFonts w:asciiTheme="minorHAnsi" w:hAnsiTheme="minorHAnsi" w:cstheme="minorHAnsi"/>
          <w:b/>
          <w:bCs/>
          <w:color w:val="000000"/>
          <w:sz w:val="22"/>
          <w:szCs w:val="22"/>
        </w:rPr>
        <w:t xml:space="preserve"> 2025 r.</w:t>
      </w:r>
    </w:p>
    <w:p w14:paraId="570717C0" w14:textId="77777777" w:rsidR="007E3455" w:rsidRPr="00D359B7" w:rsidRDefault="007E3455" w:rsidP="007E3455">
      <w:pPr>
        <w:jc w:val="both"/>
        <w:rPr>
          <w:rFonts w:asciiTheme="minorHAnsi" w:hAnsiTheme="minorHAnsi" w:cstheme="minorHAnsi"/>
          <w:sz w:val="22"/>
          <w:szCs w:val="22"/>
        </w:rPr>
      </w:pPr>
    </w:p>
    <w:p w14:paraId="0D49EE26" w14:textId="0C825C9D" w:rsidR="00C1186F" w:rsidRDefault="00C1186F" w:rsidP="00C1186F">
      <w:pPr>
        <w:spacing w:after="240"/>
        <w:rPr>
          <w:rFonts w:asciiTheme="minorHAnsi" w:hAnsiTheme="minorHAnsi" w:cstheme="minorHAnsi"/>
          <w:sz w:val="22"/>
          <w:szCs w:val="22"/>
        </w:rPr>
      </w:pPr>
    </w:p>
    <w:p w14:paraId="73993464" w14:textId="77777777" w:rsidR="00A24E14" w:rsidRDefault="00A24E14" w:rsidP="00A24E14">
      <w:pPr>
        <w:pStyle w:val="docdata"/>
        <w:spacing w:before="0" w:beforeAutospacing="0" w:after="160" w:afterAutospacing="0"/>
        <w:jc w:val="both"/>
        <w:rPr>
          <w:rFonts w:ascii="Calibri" w:hAnsi="Calibri" w:cs="Calibri"/>
          <w:b/>
          <w:bCs/>
          <w:color w:val="000000"/>
          <w:sz w:val="22"/>
          <w:szCs w:val="22"/>
        </w:rPr>
      </w:pPr>
      <w:r>
        <w:rPr>
          <w:rFonts w:asciiTheme="minorHAnsi" w:hAnsiTheme="minorHAnsi" w:cstheme="minorHAnsi"/>
          <w:sz w:val="22"/>
          <w:szCs w:val="22"/>
        </w:rPr>
        <w:t>Z dniem 15</w:t>
      </w:r>
      <w:r w:rsidR="00F138A6">
        <w:rPr>
          <w:rFonts w:asciiTheme="minorHAnsi" w:hAnsiTheme="minorHAnsi" w:cstheme="minorHAnsi"/>
          <w:sz w:val="22"/>
          <w:szCs w:val="22"/>
        </w:rPr>
        <w:t xml:space="preserve"> </w:t>
      </w:r>
      <w:r>
        <w:rPr>
          <w:rFonts w:asciiTheme="minorHAnsi" w:hAnsiTheme="minorHAnsi" w:cstheme="minorHAnsi"/>
          <w:sz w:val="22"/>
          <w:szCs w:val="22"/>
        </w:rPr>
        <w:t>lipca</w:t>
      </w:r>
      <w:r w:rsidR="00F138A6">
        <w:rPr>
          <w:rFonts w:asciiTheme="minorHAnsi" w:hAnsiTheme="minorHAnsi" w:cstheme="minorHAnsi"/>
          <w:sz w:val="22"/>
          <w:szCs w:val="22"/>
        </w:rPr>
        <w:t xml:space="preserve"> 2025 roku na Wydziale Zarządzania </w:t>
      </w:r>
      <w:r>
        <w:rPr>
          <w:rFonts w:asciiTheme="minorHAnsi" w:hAnsiTheme="minorHAnsi" w:cstheme="minorHAnsi"/>
          <w:sz w:val="22"/>
          <w:szCs w:val="22"/>
        </w:rPr>
        <w:t>wprowadza się „</w:t>
      </w:r>
      <w:r>
        <w:rPr>
          <w:rFonts w:ascii="Calibri" w:hAnsi="Calibri" w:cs="Calibri"/>
          <w:b/>
          <w:bCs/>
          <w:color w:val="000000"/>
          <w:sz w:val="22"/>
          <w:szCs w:val="22"/>
        </w:rPr>
        <w:t>Warunki przeniesienia na kierunki studiów prowadzone na Wydziale Zarządzania”.</w:t>
      </w:r>
    </w:p>
    <w:p w14:paraId="5A275C7D" w14:textId="5F0970C4" w:rsidR="00F138A6" w:rsidRDefault="00A24E14" w:rsidP="00A24E14">
      <w:pPr>
        <w:spacing w:after="240"/>
        <w:jc w:val="both"/>
        <w:rPr>
          <w:rFonts w:asciiTheme="minorHAnsi" w:hAnsiTheme="minorHAnsi" w:cstheme="minorHAnsi"/>
          <w:sz w:val="22"/>
          <w:szCs w:val="22"/>
        </w:rPr>
      </w:pPr>
      <w:r>
        <w:rPr>
          <w:rFonts w:asciiTheme="minorHAnsi" w:hAnsiTheme="minorHAnsi" w:cstheme="minorHAnsi"/>
          <w:sz w:val="22"/>
          <w:szCs w:val="22"/>
        </w:rPr>
        <w:t>Warunki</w:t>
      </w:r>
      <w:r w:rsidR="00F138A6">
        <w:rPr>
          <w:rFonts w:asciiTheme="minorHAnsi" w:hAnsiTheme="minorHAnsi" w:cstheme="minorHAnsi"/>
          <w:sz w:val="22"/>
          <w:szCs w:val="22"/>
        </w:rPr>
        <w:t xml:space="preserve"> stanowi</w:t>
      </w:r>
      <w:r>
        <w:rPr>
          <w:rFonts w:asciiTheme="minorHAnsi" w:hAnsiTheme="minorHAnsi" w:cstheme="minorHAnsi"/>
          <w:sz w:val="22"/>
          <w:szCs w:val="22"/>
        </w:rPr>
        <w:t>ą</w:t>
      </w:r>
      <w:r w:rsidR="00F138A6">
        <w:rPr>
          <w:rFonts w:asciiTheme="minorHAnsi" w:hAnsiTheme="minorHAnsi" w:cstheme="minorHAnsi"/>
          <w:sz w:val="22"/>
          <w:szCs w:val="22"/>
        </w:rPr>
        <w:t xml:space="preserve"> załącznik do Zarządzenia.</w:t>
      </w:r>
    </w:p>
    <w:p w14:paraId="3353EDF5" w14:textId="35DC9DC8" w:rsidR="00F138A6" w:rsidRDefault="00F138A6" w:rsidP="00C1186F">
      <w:pPr>
        <w:spacing w:after="240"/>
        <w:rPr>
          <w:rFonts w:asciiTheme="minorHAnsi" w:hAnsiTheme="minorHAnsi" w:cstheme="minorHAnsi"/>
          <w:sz w:val="22"/>
          <w:szCs w:val="22"/>
        </w:rPr>
      </w:pPr>
    </w:p>
    <w:p w14:paraId="6B9DC9F6" w14:textId="1F59C713" w:rsidR="00F138A6" w:rsidRDefault="00F138A6" w:rsidP="00C1186F">
      <w:pPr>
        <w:spacing w:after="240"/>
        <w:rPr>
          <w:rFonts w:asciiTheme="minorHAnsi" w:hAnsiTheme="minorHAnsi" w:cstheme="minorHAnsi"/>
          <w:sz w:val="22"/>
          <w:szCs w:val="22"/>
        </w:rPr>
      </w:pPr>
    </w:p>
    <w:p w14:paraId="5236DC2C" w14:textId="1DA96DA3" w:rsidR="00F138A6" w:rsidRDefault="00F138A6" w:rsidP="00C1186F">
      <w:pPr>
        <w:spacing w:after="240"/>
        <w:rPr>
          <w:rFonts w:asciiTheme="minorHAnsi" w:hAnsiTheme="minorHAnsi" w:cstheme="minorHAnsi"/>
          <w:sz w:val="22"/>
          <w:szCs w:val="22"/>
        </w:rPr>
      </w:pPr>
    </w:p>
    <w:p w14:paraId="07DFBE0A" w14:textId="2D8A4579" w:rsidR="00F138A6" w:rsidRDefault="00F138A6" w:rsidP="00C1186F">
      <w:pPr>
        <w:spacing w:after="240"/>
        <w:rPr>
          <w:rFonts w:asciiTheme="minorHAnsi" w:hAnsiTheme="minorHAnsi" w:cstheme="minorHAnsi"/>
          <w:sz w:val="22"/>
          <w:szCs w:val="22"/>
        </w:rPr>
      </w:pPr>
    </w:p>
    <w:p w14:paraId="2C980382" w14:textId="5ECB4FD1" w:rsidR="00F138A6" w:rsidRDefault="00F138A6" w:rsidP="00C1186F">
      <w:pPr>
        <w:spacing w:after="240"/>
        <w:rPr>
          <w:rFonts w:asciiTheme="minorHAnsi" w:hAnsiTheme="minorHAnsi" w:cstheme="minorHAnsi"/>
          <w:sz w:val="22"/>
          <w:szCs w:val="22"/>
        </w:rPr>
      </w:pPr>
    </w:p>
    <w:p w14:paraId="38C1EA9B" w14:textId="02520272" w:rsidR="00F138A6" w:rsidRDefault="00F138A6" w:rsidP="00C1186F">
      <w:pPr>
        <w:spacing w:after="240"/>
        <w:rPr>
          <w:rFonts w:asciiTheme="minorHAnsi" w:hAnsiTheme="minorHAnsi" w:cstheme="minorHAnsi"/>
          <w:sz w:val="22"/>
          <w:szCs w:val="22"/>
        </w:rPr>
      </w:pPr>
    </w:p>
    <w:p w14:paraId="1F34837E" w14:textId="3CA53578" w:rsidR="00F138A6" w:rsidRDefault="00F138A6" w:rsidP="00C1186F">
      <w:pPr>
        <w:spacing w:after="240"/>
        <w:rPr>
          <w:rFonts w:asciiTheme="minorHAnsi" w:hAnsiTheme="minorHAnsi" w:cstheme="minorHAnsi"/>
          <w:sz w:val="22"/>
          <w:szCs w:val="22"/>
        </w:rPr>
      </w:pPr>
    </w:p>
    <w:p w14:paraId="29010C05" w14:textId="2836E3F9" w:rsidR="00F138A6" w:rsidRDefault="00F138A6" w:rsidP="00C1186F">
      <w:pPr>
        <w:spacing w:after="240"/>
        <w:rPr>
          <w:rFonts w:asciiTheme="minorHAnsi" w:hAnsiTheme="minorHAnsi" w:cstheme="minorHAnsi"/>
          <w:sz w:val="22"/>
          <w:szCs w:val="22"/>
        </w:rPr>
      </w:pPr>
    </w:p>
    <w:p w14:paraId="5CD49E39" w14:textId="63C6D795" w:rsidR="00F138A6" w:rsidRDefault="00F138A6" w:rsidP="00C1186F">
      <w:pPr>
        <w:spacing w:after="240"/>
        <w:rPr>
          <w:rFonts w:asciiTheme="minorHAnsi" w:hAnsiTheme="minorHAnsi" w:cstheme="minorHAnsi"/>
          <w:sz w:val="22"/>
          <w:szCs w:val="22"/>
        </w:rPr>
      </w:pPr>
    </w:p>
    <w:p w14:paraId="5E495807" w14:textId="3EC2E9C6" w:rsidR="00F138A6" w:rsidRDefault="00F138A6" w:rsidP="00C1186F">
      <w:pPr>
        <w:spacing w:after="240"/>
        <w:rPr>
          <w:rFonts w:asciiTheme="minorHAnsi" w:hAnsiTheme="minorHAnsi" w:cstheme="minorHAnsi"/>
          <w:sz w:val="22"/>
          <w:szCs w:val="22"/>
        </w:rPr>
      </w:pPr>
    </w:p>
    <w:p w14:paraId="568F139D" w14:textId="49F06133" w:rsidR="00F138A6" w:rsidRDefault="00F138A6" w:rsidP="00C1186F">
      <w:pPr>
        <w:spacing w:after="240"/>
        <w:rPr>
          <w:rFonts w:asciiTheme="minorHAnsi" w:hAnsiTheme="minorHAnsi" w:cstheme="minorHAnsi"/>
          <w:sz w:val="22"/>
          <w:szCs w:val="22"/>
        </w:rPr>
      </w:pPr>
    </w:p>
    <w:p w14:paraId="25CDC256" w14:textId="61A52ACB" w:rsidR="00F138A6" w:rsidRDefault="00F138A6" w:rsidP="00C1186F">
      <w:pPr>
        <w:spacing w:after="240"/>
        <w:rPr>
          <w:rFonts w:asciiTheme="minorHAnsi" w:hAnsiTheme="minorHAnsi" w:cstheme="minorHAnsi"/>
          <w:sz w:val="22"/>
          <w:szCs w:val="22"/>
        </w:rPr>
      </w:pPr>
    </w:p>
    <w:p w14:paraId="18678783" w14:textId="56C6774B" w:rsidR="00F138A6" w:rsidRDefault="00F138A6" w:rsidP="00C1186F">
      <w:pPr>
        <w:spacing w:after="240"/>
        <w:rPr>
          <w:rFonts w:asciiTheme="minorHAnsi" w:hAnsiTheme="minorHAnsi" w:cstheme="minorHAnsi"/>
          <w:sz w:val="22"/>
          <w:szCs w:val="22"/>
        </w:rPr>
      </w:pPr>
    </w:p>
    <w:p w14:paraId="16DB55C2" w14:textId="7775C153" w:rsidR="00F138A6" w:rsidRDefault="00F138A6" w:rsidP="00C1186F">
      <w:pPr>
        <w:spacing w:after="240"/>
        <w:rPr>
          <w:rFonts w:asciiTheme="minorHAnsi" w:hAnsiTheme="minorHAnsi" w:cstheme="minorHAnsi"/>
          <w:sz w:val="22"/>
          <w:szCs w:val="22"/>
        </w:rPr>
      </w:pPr>
    </w:p>
    <w:p w14:paraId="7B8682C9" w14:textId="7254601D" w:rsidR="00F138A6" w:rsidRDefault="00F138A6" w:rsidP="00C1186F">
      <w:pPr>
        <w:spacing w:after="240"/>
        <w:rPr>
          <w:rFonts w:asciiTheme="minorHAnsi" w:hAnsiTheme="minorHAnsi" w:cstheme="minorHAnsi"/>
          <w:sz w:val="22"/>
          <w:szCs w:val="22"/>
        </w:rPr>
      </w:pPr>
    </w:p>
    <w:p w14:paraId="29F8258F" w14:textId="2FC59D84" w:rsidR="00F138A6" w:rsidRDefault="00F138A6" w:rsidP="00C1186F">
      <w:pPr>
        <w:spacing w:after="240"/>
        <w:rPr>
          <w:rFonts w:asciiTheme="minorHAnsi" w:hAnsiTheme="minorHAnsi" w:cstheme="minorHAnsi"/>
          <w:sz w:val="22"/>
          <w:szCs w:val="22"/>
        </w:rPr>
      </w:pPr>
    </w:p>
    <w:p w14:paraId="4B389E21" w14:textId="56173546" w:rsidR="00F138A6" w:rsidRDefault="00F138A6" w:rsidP="00C1186F">
      <w:pPr>
        <w:spacing w:after="240"/>
        <w:rPr>
          <w:rFonts w:asciiTheme="minorHAnsi" w:hAnsiTheme="minorHAnsi" w:cstheme="minorHAnsi"/>
          <w:sz w:val="22"/>
          <w:szCs w:val="22"/>
        </w:rPr>
      </w:pPr>
    </w:p>
    <w:p w14:paraId="53639DBD" w14:textId="5E2461E4" w:rsidR="00F138A6" w:rsidRDefault="00F138A6" w:rsidP="00C1186F">
      <w:pPr>
        <w:spacing w:after="240"/>
        <w:rPr>
          <w:rFonts w:asciiTheme="minorHAnsi" w:hAnsiTheme="minorHAnsi" w:cstheme="minorHAnsi"/>
          <w:sz w:val="22"/>
          <w:szCs w:val="22"/>
        </w:rPr>
      </w:pPr>
    </w:p>
    <w:p w14:paraId="34CC3D79" w14:textId="77777777" w:rsidR="00C9499C" w:rsidRDefault="00C9499C" w:rsidP="00C1186F">
      <w:pPr>
        <w:spacing w:after="240"/>
        <w:rPr>
          <w:rFonts w:asciiTheme="minorHAnsi" w:hAnsiTheme="minorHAnsi" w:cstheme="minorHAnsi"/>
          <w:sz w:val="22"/>
          <w:szCs w:val="22"/>
        </w:rPr>
      </w:pPr>
    </w:p>
    <w:p w14:paraId="3D013E12" w14:textId="77777777" w:rsidR="00F138A6" w:rsidRDefault="00F138A6" w:rsidP="00C1186F">
      <w:pPr>
        <w:spacing w:after="240"/>
        <w:rPr>
          <w:rFonts w:asciiTheme="minorHAnsi" w:hAnsiTheme="minorHAnsi" w:cstheme="minorHAnsi"/>
          <w:sz w:val="22"/>
          <w:szCs w:val="22"/>
        </w:rPr>
      </w:pPr>
    </w:p>
    <w:p w14:paraId="6E57C85E" w14:textId="77777777" w:rsidR="00A24E14" w:rsidRPr="00A24E14" w:rsidRDefault="00A24E14" w:rsidP="00A24E14">
      <w:pPr>
        <w:spacing w:after="160"/>
        <w:jc w:val="center"/>
      </w:pPr>
      <w:r w:rsidRPr="00A24E14">
        <w:rPr>
          <w:rFonts w:ascii="Calibri" w:hAnsi="Calibri" w:cs="Calibri"/>
          <w:b/>
          <w:bCs/>
          <w:color w:val="000000"/>
          <w:sz w:val="22"/>
          <w:szCs w:val="22"/>
        </w:rPr>
        <w:lastRenderedPageBreak/>
        <w:t>Warunki przeniesienia na kierunki studiów prowadzone na Wydziale Zarządzania</w:t>
      </w:r>
    </w:p>
    <w:p w14:paraId="38AEA999" w14:textId="77777777" w:rsidR="00A24E14" w:rsidRPr="00A24E14" w:rsidRDefault="00A24E14" w:rsidP="00A24E14">
      <w:pPr>
        <w:numPr>
          <w:ilvl w:val="0"/>
          <w:numId w:val="21"/>
        </w:numPr>
        <w:tabs>
          <w:tab w:val="clear" w:pos="-360"/>
          <w:tab w:val="num" w:pos="-1440"/>
          <w:tab w:val="left" w:pos="720"/>
        </w:tabs>
        <w:spacing w:after="160"/>
        <w:ind w:left="360"/>
        <w:jc w:val="both"/>
      </w:pPr>
      <w:r w:rsidRPr="00A24E14">
        <w:rPr>
          <w:rFonts w:ascii="Calibri" w:hAnsi="Calibri" w:cs="Calibri"/>
          <w:color w:val="000000"/>
          <w:sz w:val="22"/>
          <w:szCs w:val="22"/>
        </w:rPr>
        <w:t xml:space="preserve">Przeniesienie na kierunek studiów prowadzony na Wydziale Zarządzania jest rozumiane jako umożliwienie studiowania zgodnie z programem studiów dla cyklu kształcenia wskazanego przez Dziekana. </w:t>
      </w:r>
    </w:p>
    <w:p w14:paraId="1FAD1858" w14:textId="77777777" w:rsidR="00A24E14" w:rsidRPr="00A24E14" w:rsidRDefault="00A24E14" w:rsidP="00A24E14">
      <w:pPr>
        <w:numPr>
          <w:ilvl w:val="0"/>
          <w:numId w:val="21"/>
        </w:numPr>
        <w:tabs>
          <w:tab w:val="clear" w:pos="-360"/>
          <w:tab w:val="num" w:pos="-1440"/>
          <w:tab w:val="left" w:pos="720"/>
        </w:tabs>
        <w:spacing w:after="160"/>
        <w:ind w:left="360"/>
        <w:jc w:val="both"/>
      </w:pPr>
      <w:r w:rsidRPr="00A24E14">
        <w:rPr>
          <w:rFonts w:ascii="Calibri" w:hAnsi="Calibri" w:cs="Calibri"/>
          <w:color w:val="000000"/>
          <w:sz w:val="22"/>
          <w:szCs w:val="22"/>
        </w:rPr>
        <w:t>Możliwość przeniesienia na Wydział Zarządzania jest warunkowana liczbą dostępnych miejsc w ramach danego kierunku, programu i cyklu kształcenia.</w:t>
      </w:r>
    </w:p>
    <w:p w14:paraId="4E8B9F91" w14:textId="77777777" w:rsidR="00A24E14" w:rsidRPr="00A24E14" w:rsidRDefault="00A24E14" w:rsidP="00A24E14">
      <w:pPr>
        <w:numPr>
          <w:ilvl w:val="0"/>
          <w:numId w:val="21"/>
        </w:numPr>
        <w:tabs>
          <w:tab w:val="clear" w:pos="-360"/>
          <w:tab w:val="num" w:pos="-1440"/>
          <w:tab w:val="left" w:pos="720"/>
        </w:tabs>
        <w:spacing w:after="160"/>
        <w:ind w:left="360"/>
        <w:jc w:val="both"/>
      </w:pPr>
      <w:r w:rsidRPr="00A24E14">
        <w:rPr>
          <w:rFonts w:ascii="Calibri" w:hAnsi="Calibri" w:cs="Calibri"/>
          <w:color w:val="000000"/>
          <w:sz w:val="22"/>
          <w:szCs w:val="22"/>
        </w:rPr>
        <w:t xml:space="preserve">W niektórych okresach i w przypadku niektórych cykli kształcenia Dziekan Wydziału Zarządzania odrzuca wnioski o przeniesienie z powodu braku miejsc niezależnie od osiągnięć i dorobku akademickiego osoby składającej wniosek. </w:t>
      </w:r>
    </w:p>
    <w:p w14:paraId="5D754EF9" w14:textId="77777777" w:rsidR="00A24E14" w:rsidRPr="00A24E14" w:rsidRDefault="00A24E14" w:rsidP="00A24E14">
      <w:pPr>
        <w:numPr>
          <w:ilvl w:val="0"/>
          <w:numId w:val="21"/>
        </w:numPr>
        <w:tabs>
          <w:tab w:val="clear" w:pos="-360"/>
          <w:tab w:val="num" w:pos="-1440"/>
          <w:tab w:val="left" w:pos="720"/>
        </w:tabs>
        <w:spacing w:after="160"/>
        <w:ind w:left="360"/>
        <w:jc w:val="both"/>
      </w:pPr>
      <w:r w:rsidRPr="00A24E14">
        <w:rPr>
          <w:rFonts w:ascii="Calibri" w:hAnsi="Calibri" w:cs="Calibri"/>
          <w:color w:val="000000"/>
          <w:sz w:val="22"/>
          <w:szCs w:val="22"/>
        </w:rPr>
        <w:t>O przeniesienie może ubiegać się osoba, która posiada status studenta uczelni wyższej (polskiej lub zagranicznej, zgodnej z definicją instytucji szkolnictwa wyższego obowiązującą w Unii Europejskiej) w momencie rozpoczęcia procedury i jest to status studenta studiów odpowiedniego stopnia (osoby starające się o przeniesienie na studia II stopnia muszą posiadać status studenta studiów II stopnia).</w:t>
      </w:r>
    </w:p>
    <w:p w14:paraId="5E3D71E8" w14:textId="77777777" w:rsidR="00A24E14" w:rsidRPr="00A24E14" w:rsidRDefault="00A24E14" w:rsidP="00A24E14">
      <w:pPr>
        <w:numPr>
          <w:ilvl w:val="0"/>
          <w:numId w:val="21"/>
        </w:numPr>
        <w:tabs>
          <w:tab w:val="clear" w:pos="-360"/>
          <w:tab w:val="num" w:pos="-1440"/>
          <w:tab w:val="left" w:pos="720"/>
        </w:tabs>
        <w:spacing w:after="160"/>
        <w:ind w:left="360"/>
        <w:jc w:val="both"/>
      </w:pPr>
      <w:r w:rsidRPr="00A24E14">
        <w:rPr>
          <w:rFonts w:ascii="Calibri" w:hAnsi="Calibri" w:cs="Calibri"/>
          <w:color w:val="000000"/>
          <w:sz w:val="22"/>
          <w:szCs w:val="22"/>
        </w:rPr>
        <w:t>Przeniesienie na kierunek studiów prowadzony na Wydziale Zarządzania jest możliwe:</w:t>
      </w:r>
    </w:p>
    <w:p w14:paraId="1729752E" w14:textId="77777777" w:rsidR="00A24E14" w:rsidRPr="00A24E14" w:rsidRDefault="00A24E14" w:rsidP="00A24E14">
      <w:pPr>
        <w:numPr>
          <w:ilvl w:val="2"/>
          <w:numId w:val="21"/>
        </w:numPr>
        <w:tabs>
          <w:tab w:val="left" w:pos="720"/>
        </w:tabs>
        <w:spacing w:after="160"/>
        <w:jc w:val="both"/>
      </w:pPr>
      <w:r w:rsidRPr="00A24E14">
        <w:rPr>
          <w:rFonts w:ascii="Calibri" w:hAnsi="Calibri" w:cs="Calibri"/>
          <w:color w:val="000000"/>
          <w:sz w:val="22"/>
          <w:szCs w:val="22"/>
        </w:rPr>
        <w:t>w przypadku studiów I stopnia – na semestry (etapy) o numerach 2,3,4,5</w:t>
      </w:r>
    </w:p>
    <w:p w14:paraId="2F6A832A" w14:textId="6620E621" w:rsidR="00A24E14" w:rsidRDefault="00A24E14" w:rsidP="00A24E14">
      <w:pPr>
        <w:numPr>
          <w:ilvl w:val="2"/>
          <w:numId w:val="21"/>
        </w:numPr>
        <w:tabs>
          <w:tab w:val="left" w:pos="720"/>
        </w:tabs>
        <w:spacing w:after="160"/>
        <w:jc w:val="both"/>
      </w:pPr>
      <w:r w:rsidRPr="00A24E14">
        <w:rPr>
          <w:rFonts w:ascii="Calibri" w:hAnsi="Calibri" w:cs="Calibri"/>
          <w:color w:val="000000"/>
          <w:sz w:val="22"/>
          <w:szCs w:val="22"/>
        </w:rPr>
        <w:t>w przypadku studiów II stopnia – wyłącznie na semestr (etap) drugi.</w:t>
      </w:r>
    </w:p>
    <w:p w14:paraId="74E228B7" w14:textId="77777777" w:rsidR="00A24E14" w:rsidRDefault="00A24E14" w:rsidP="00A24E14">
      <w:pPr>
        <w:numPr>
          <w:ilvl w:val="0"/>
          <w:numId w:val="21"/>
        </w:numPr>
        <w:tabs>
          <w:tab w:val="clear" w:pos="-360"/>
          <w:tab w:val="num" w:pos="-1440"/>
          <w:tab w:val="left" w:pos="720"/>
        </w:tabs>
        <w:spacing w:after="160"/>
        <w:ind w:left="360"/>
        <w:jc w:val="both"/>
      </w:pPr>
      <w:r w:rsidRPr="00A24E14">
        <w:rPr>
          <w:rFonts w:ascii="Calibri" w:hAnsi="Calibri" w:cs="Calibri"/>
          <w:color w:val="000000"/>
          <w:sz w:val="22"/>
          <w:szCs w:val="22"/>
        </w:rPr>
        <w:t xml:space="preserve">Warunkiem przystąpienia do procedury przeniesienia jest posiadanie przez osobę kandydującą odpowiedniej liczby punktów ECTS uzyskanych w ramach dotychczas studiowanego programu. W przypadku przeniesienia na semestr (etap) numer </w:t>
      </w:r>
      <w:r w:rsidRPr="00A24E14">
        <w:rPr>
          <w:rFonts w:ascii="Calibri" w:hAnsi="Calibri" w:cs="Calibri"/>
          <w:i/>
          <w:iCs/>
          <w:color w:val="000000"/>
          <w:sz w:val="22"/>
          <w:szCs w:val="22"/>
        </w:rPr>
        <w:t>k</w:t>
      </w:r>
      <w:r w:rsidRPr="00A24E14">
        <w:rPr>
          <w:rFonts w:ascii="Calibri" w:hAnsi="Calibri" w:cs="Calibri"/>
          <w:color w:val="000000"/>
          <w:sz w:val="22"/>
          <w:szCs w:val="22"/>
        </w:rPr>
        <w:t xml:space="preserve"> (gdzie </w:t>
      </w:r>
      <w:r w:rsidRPr="00A24E14">
        <w:rPr>
          <w:rFonts w:ascii="Calibri" w:hAnsi="Calibri" w:cs="Calibri"/>
          <w:i/>
          <w:iCs/>
          <w:color w:val="000000"/>
          <w:sz w:val="22"/>
          <w:szCs w:val="22"/>
        </w:rPr>
        <w:t>k</w:t>
      </w:r>
      <w:r w:rsidRPr="00A24E14">
        <w:rPr>
          <w:rFonts w:ascii="Calibri" w:hAnsi="Calibri" w:cs="Calibri"/>
          <w:color w:val="000000"/>
          <w:sz w:val="22"/>
          <w:szCs w:val="22"/>
        </w:rPr>
        <w:t xml:space="preserve"> = 2, 3, 4, 5 dla studiów I stopnia; </w:t>
      </w:r>
      <w:r w:rsidRPr="00A24E14">
        <w:rPr>
          <w:rFonts w:ascii="Calibri" w:hAnsi="Calibri" w:cs="Calibri"/>
          <w:i/>
          <w:iCs/>
          <w:color w:val="000000"/>
          <w:sz w:val="22"/>
          <w:szCs w:val="22"/>
        </w:rPr>
        <w:t>k</w:t>
      </w:r>
      <w:r w:rsidRPr="00A24E14">
        <w:rPr>
          <w:rFonts w:ascii="Calibri" w:hAnsi="Calibri" w:cs="Calibri"/>
          <w:color w:val="000000"/>
          <w:sz w:val="22"/>
          <w:szCs w:val="22"/>
        </w:rPr>
        <w:t xml:space="preserve"> = 2 dla studiów II stopnia), osoba aplikująca powinna posiadać w swoim dorobku akademickim co najmniej </w:t>
      </w:r>
      <w:r w:rsidRPr="00A24E14">
        <w:rPr>
          <w:rFonts w:ascii="Calibri" w:hAnsi="Calibri" w:cs="Calibri"/>
          <w:i/>
          <w:iCs/>
          <w:color w:val="000000"/>
          <w:sz w:val="22"/>
          <w:szCs w:val="22"/>
        </w:rPr>
        <w:t>(k–1) × 30</w:t>
      </w:r>
      <w:r w:rsidRPr="00A24E14">
        <w:rPr>
          <w:rFonts w:ascii="Calibri" w:hAnsi="Calibri" w:cs="Calibri"/>
          <w:color w:val="000000"/>
          <w:sz w:val="22"/>
          <w:szCs w:val="22"/>
        </w:rPr>
        <w:t xml:space="preserve"> punktów ECTS.</w:t>
      </w:r>
    </w:p>
    <w:p w14:paraId="463610EA" w14:textId="77777777" w:rsidR="00A24E14" w:rsidRDefault="00A24E14" w:rsidP="00A24E14">
      <w:pPr>
        <w:numPr>
          <w:ilvl w:val="0"/>
          <w:numId w:val="21"/>
        </w:numPr>
        <w:tabs>
          <w:tab w:val="clear" w:pos="-360"/>
          <w:tab w:val="num" w:pos="-1440"/>
          <w:tab w:val="left" w:pos="720"/>
        </w:tabs>
        <w:spacing w:after="160"/>
        <w:ind w:left="360"/>
        <w:jc w:val="both"/>
      </w:pPr>
      <w:r w:rsidRPr="00A24E14">
        <w:rPr>
          <w:rFonts w:ascii="Calibri" w:hAnsi="Calibri" w:cs="Calibri"/>
          <w:color w:val="000000"/>
          <w:sz w:val="22"/>
          <w:szCs w:val="22"/>
        </w:rPr>
        <w:t>Zaleca się, aby osoba ubiegająca się o przeniesienie legitymowała się średnią ocen co najmniej C w międzynarodowej skali ocen ECTS (ocena 4.0 w Politechnice Wrocławskiej). Średnią ocen oblicza się na podstawie całego dorobku pozyskanego w trakcie uczestnictwa w dotychczasowym programie studiów. W razie potrzeby przeliczania ocen z innych systemów oceniania postępuję się zgodnie z zasadami przeliczania ocen z użyciem systemu ocen ECTS stosowanymi w Politechnice Wrocławskiej w ramach programów mobilności międzynarodowej.</w:t>
      </w:r>
    </w:p>
    <w:p w14:paraId="2C081713" w14:textId="77777777" w:rsidR="00A24E14" w:rsidRPr="00A24E14" w:rsidRDefault="00A24E14" w:rsidP="00A24E14">
      <w:pPr>
        <w:numPr>
          <w:ilvl w:val="0"/>
          <w:numId w:val="21"/>
        </w:numPr>
        <w:tabs>
          <w:tab w:val="clear" w:pos="-360"/>
          <w:tab w:val="num" w:pos="-1440"/>
          <w:tab w:val="left" w:pos="720"/>
        </w:tabs>
        <w:spacing w:after="160"/>
        <w:ind w:left="360"/>
        <w:jc w:val="both"/>
      </w:pPr>
      <w:r w:rsidRPr="00A24E14">
        <w:rPr>
          <w:rFonts w:ascii="Calibri" w:hAnsi="Calibri" w:cs="Calibri"/>
          <w:color w:val="000000"/>
          <w:sz w:val="22"/>
          <w:szCs w:val="22"/>
        </w:rPr>
        <w:t>Dopuszcza się możliwość przeniesienia w przypadku niespełnienia minimalnych wymagań dotyczących liczby punktów ECTS lub średniej ocen, pod dodatkowym warunkiem, że można uznać, że osoba kandydująca zrealizowała niektóre efekty uczenia się przypisane do programu studiów, na który aplikuje. W takim przypadku decyzję podejmuje Dziekan Wydziału, uwzględniając:</w:t>
      </w:r>
    </w:p>
    <w:p w14:paraId="067C2D7A" w14:textId="77777777" w:rsidR="00A24E14" w:rsidRPr="00A24E14" w:rsidRDefault="00A24E14" w:rsidP="00A24E14">
      <w:pPr>
        <w:numPr>
          <w:ilvl w:val="2"/>
          <w:numId w:val="21"/>
        </w:numPr>
        <w:tabs>
          <w:tab w:val="left" w:pos="720"/>
        </w:tabs>
        <w:spacing w:after="160"/>
        <w:jc w:val="both"/>
      </w:pPr>
      <w:r w:rsidRPr="00A24E14">
        <w:rPr>
          <w:rFonts w:ascii="Calibri" w:hAnsi="Calibri" w:cs="Calibri"/>
          <w:color w:val="000000"/>
          <w:sz w:val="22"/>
          <w:szCs w:val="22"/>
        </w:rPr>
        <w:t>faktyczną średnią ocen i dorobek punktowy na dotychczasowym kierunku,</w:t>
      </w:r>
    </w:p>
    <w:p w14:paraId="1C3ACCF5" w14:textId="2C13965D" w:rsidR="00A24E14" w:rsidRDefault="00A24E14" w:rsidP="00A24E14">
      <w:pPr>
        <w:numPr>
          <w:ilvl w:val="2"/>
          <w:numId w:val="21"/>
        </w:numPr>
        <w:tabs>
          <w:tab w:val="left" w:pos="720"/>
        </w:tabs>
        <w:spacing w:after="160"/>
        <w:jc w:val="both"/>
      </w:pPr>
      <w:r w:rsidRPr="00A24E14">
        <w:rPr>
          <w:rFonts w:ascii="Calibri" w:hAnsi="Calibri" w:cs="Calibri"/>
          <w:color w:val="000000"/>
          <w:sz w:val="22"/>
          <w:szCs w:val="22"/>
        </w:rPr>
        <w:t xml:space="preserve">liczbę i zakres możliwych do uznania jako osiągnięte efektów uczenia się rozpoznanych wstępnie jako zgodne z efektami przypisanymi do docelowego programu studiów. Wstępną decyzję w sprawie możliwości uznania niektórych </w:t>
      </w:r>
      <w:r w:rsidRPr="00A24E14">
        <w:rPr>
          <w:rFonts w:ascii="Calibri" w:hAnsi="Calibri" w:cs="Calibri"/>
          <w:color w:val="000000"/>
          <w:sz w:val="22"/>
          <w:szCs w:val="22"/>
        </w:rPr>
        <w:lastRenderedPageBreak/>
        <w:t>efektów podejmuje Dziekan Wydziału Zarządzania na podstawie kwalifikowalnej dokumentacji dostarczonej przez osobę kandydującą. Wstępna decyzja Dziekana określa liczbę punktów ECTS możliwą do uznania przez Wydział Zarządzania w ramach programu studiów, na który aplikuje osoba składająca wniosek o przeniesienie.</w:t>
      </w:r>
    </w:p>
    <w:p w14:paraId="1FE36B89" w14:textId="77777777" w:rsidR="00A24E14" w:rsidRDefault="00A24E14" w:rsidP="00A24E14">
      <w:pPr>
        <w:numPr>
          <w:ilvl w:val="0"/>
          <w:numId w:val="21"/>
        </w:numPr>
        <w:tabs>
          <w:tab w:val="clear" w:pos="-360"/>
          <w:tab w:val="num" w:pos="-1440"/>
          <w:tab w:val="left" w:pos="720"/>
        </w:tabs>
        <w:spacing w:after="160"/>
        <w:ind w:left="360"/>
        <w:jc w:val="both"/>
      </w:pPr>
      <w:r w:rsidRPr="00A24E14">
        <w:rPr>
          <w:rFonts w:ascii="Calibri" w:hAnsi="Calibri" w:cs="Calibri"/>
          <w:color w:val="000000"/>
          <w:sz w:val="22"/>
          <w:szCs w:val="22"/>
        </w:rPr>
        <w:t>Warunkiem koniecznym do skutecznego przeniesienia na program studiów oferowany przez Wydział Zarządzania jest możliwość zaplanowania indywidualnej ścieżki edukacyjnej (indywidualnej organizacji studiów) w taki sposób, aby osoba przeniesiona mogła, po upływie dwóch semestrów od przeniesienia, zrealizować wymagany programowo dla bieżącego etapu edukacji dorobek punktowy, zgodnie z właściwym programem studiów na Wydziale Zarządzania. Po upływie dwóch semestrów dopuszcza się deficyt punktów ECTS tylko w zakresie przewidzianym przez obowiązujący program studiów. W ramach indywidualnej organizacji studiów wprowadzanej w życie z powodu przeniesienia dopuszcza się realizację max 45 punktów ECTS w jednym semestrze. </w:t>
      </w:r>
    </w:p>
    <w:p w14:paraId="143D8544" w14:textId="57DDAF5E" w:rsidR="00A24E14" w:rsidRPr="00A24E14" w:rsidRDefault="00A24E14" w:rsidP="00A24E14">
      <w:pPr>
        <w:numPr>
          <w:ilvl w:val="0"/>
          <w:numId w:val="21"/>
        </w:numPr>
        <w:tabs>
          <w:tab w:val="clear" w:pos="-360"/>
          <w:tab w:val="num" w:pos="-1440"/>
          <w:tab w:val="left" w:pos="720"/>
        </w:tabs>
        <w:spacing w:after="160"/>
        <w:ind w:left="360"/>
        <w:jc w:val="both"/>
      </w:pPr>
      <w:r w:rsidRPr="00A24E14">
        <w:rPr>
          <w:rFonts w:ascii="Calibri" w:hAnsi="Calibri" w:cs="Calibri"/>
          <w:color w:val="000000"/>
          <w:sz w:val="22"/>
          <w:szCs w:val="22"/>
        </w:rPr>
        <w:t xml:space="preserve">Osoba przenosząca się na studia II stopnia dodatkowo dostarcza informację o efektach uczenia się zrealizowanych w ramach studiów I lub II stopnia powiązanych z kierunkiem, na który się przenosi (KWESTIONARIUSZ OCENY DOROBKU STUDIÓW dla osób starających się o przyjęcie na studia II stopnia (formularz </w:t>
      </w:r>
      <w:hyperlink r:id="rId8" w:tooltip="https://wz.pwr.edu.pl/studenci/dokumenty-do-pobrania" w:history="1">
        <w:r w:rsidRPr="00A24E14">
          <w:rPr>
            <w:rFonts w:ascii="Calibri" w:hAnsi="Calibri" w:cs="Calibri"/>
            <w:color w:val="467886"/>
            <w:sz w:val="22"/>
            <w:szCs w:val="22"/>
            <w:u w:val="single"/>
          </w:rPr>
          <w:t>dokument do pobrania</w:t>
        </w:r>
      </w:hyperlink>
      <w:r w:rsidRPr="00A24E14">
        <w:rPr>
          <w:rFonts w:ascii="Calibri" w:hAnsi="Calibri" w:cs="Calibri"/>
          <w:color w:val="000000"/>
          <w:sz w:val="22"/>
          <w:szCs w:val="22"/>
        </w:rPr>
        <w:t xml:space="preserve"> ze strony www). Ten dokument jest wykorzystywany w procesie podejmowania decyzji o przeniesieniu. Dziekan ocenia dokument kierując się zasadami określonymi przez warunki obowiązujące w czasie rekrutacji na studia II stopnia w danym roku akademickim. </w:t>
      </w:r>
    </w:p>
    <w:p w14:paraId="172E2C31" w14:textId="77777777" w:rsidR="00A24E14" w:rsidRPr="00A24E14" w:rsidRDefault="00A24E14" w:rsidP="00A24E14">
      <w:pPr>
        <w:spacing w:after="160"/>
      </w:pPr>
      <w:r w:rsidRPr="00A24E14">
        <w:rPr>
          <w:rFonts w:ascii="Calibri" w:hAnsi="Calibri" w:cs="Calibri"/>
          <w:color w:val="000000"/>
          <w:sz w:val="22"/>
          <w:szCs w:val="22"/>
        </w:rPr>
        <w:t>Uzupełnienie:</w:t>
      </w:r>
    </w:p>
    <w:p w14:paraId="616206E6" w14:textId="77777777" w:rsidR="00A24E14" w:rsidRPr="00A24E14" w:rsidRDefault="00A24E14" w:rsidP="00A24E14">
      <w:pPr>
        <w:spacing w:after="160"/>
      </w:pPr>
      <w:r w:rsidRPr="00A24E14">
        <w:rPr>
          <w:rFonts w:ascii="Calibri" w:hAnsi="Calibri" w:cs="Calibri"/>
          <w:color w:val="000000"/>
          <w:sz w:val="22"/>
          <w:szCs w:val="22"/>
        </w:rPr>
        <w:t>Skala ECTS obejmuje następujące oceny: </w:t>
      </w:r>
    </w:p>
    <w:p w14:paraId="08AFA11D" w14:textId="77777777" w:rsidR="00A24E14" w:rsidRPr="00A24E14" w:rsidRDefault="00A24E14" w:rsidP="00A24E14">
      <w:pPr>
        <w:spacing w:after="160"/>
      </w:pPr>
      <w:r w:rsidRPr="00A24E14">
        <w:t> </w:t>
      </w:r>
    </w:p>
    <w:p w14:paraId="54C49D2A" w14:textId="77777777" w:rsidR="00A24E14" w:rsidRPr="00A24E14" w:rsidRDefault="00A24E14" w:rsidP="00A24E14">
      <w:pPr>
        <w:numPr>
          <w:ilvl w:val="0"/>
          <w:numId w:val="29"/>
        </w:numPr>
        <w:tabs>
          <w:tab w:val="left" w:pos="720"/>
        </w:tabs>
        <w:spacing w:after="160"/>
        <w:ind w:left="1440"/>
      </w:pPr>
      <w:r w:rsidRPr="00A24E14">
        <w:rPr>
          <w:rFonts w:ascii="Calibri" w:hAnsi="Calibri" w:cs="Calibri"/>
          <w:b/>
          <w:bCs/>
          <w:color w:val="000000"/>
          <w:sz w:val="22"/>
          <w:szCs w:val="22"/>
        </w:rPr>
        <w:t>A</w:t>
      </w:r>
      <w:r w:rsidRPr="00A24E14">
        <w:rPr>
          <w:rFonts w:ascii="Calibri" w:hAnsi="Calibri" w:cs="Calibri"/>
          <w:color w:val="000000"/>
          <w:sz w:val="22"/>
          <w:szCs w:val="22"/>
        </w:rPr>
        <w:t>. (celujący) osiągnięcia, z minimalnymi błędami.</w:t>
      </w:r>
    </w:p>
    <w:p w14:paraId="15CE46FA" w14:textId="77777777" w:rsidR="00A24E14" w:rsidRPr="00A24E14" w:rsidRDefault="00A24E14" w:rsidP="00A24E14">
      <w:pPr>
        <w:numPr>
          <w:ilvl w:val="0"/>
          <w:numId w:val="29"/>
        </w:numPr>
        <w:tabs>
          <w:tab w:val="left" w:pos="720"/>
        </w:tabs>
        <w:spacing w:after="160"/>
        <w:ind w:left="1440"/>
      </w:pPr>
      <w:r w:rsidRPr="00A24E14">
        <w:rPr>
          <w:rFonts w:ascii="Calibri" w:hAnsi="Calibri" w:cs="Calibri"/>
          <w:b/>
          <w:bCs/>
          <w:color w:val="000000"/>
          <w:sz w:val="22"/>
          <w:szCs w:val="22"/>
        </w:rPr>
        <w:t>B</w:t>
      </w:r>
      <w:r w:rsidRPr="00A24E14">
        <w:rPr>
          <w:rFonts w:ascii="Calibri" w:hAnsi="Calibri" w:cs="Calibri"/>
          <w:color w:val="000000"/>
          <w:sz w:val="22"/>
          <w:szCs w:val="22"/>
        </w:rPr>
        <w:t>: (bardzo dobry) - powyżej średniego poziomu, z pewnymi błędami.</w:t>
      </w:r>
    </w:p>
    <w:p w14:paraId="25859BD2" w14:textId="77777777" w:rsidR="00A24E14" w:rsidRPr="00A24E14" w:rsidRDefault="00A24E14" w:rsidP="00A24E14">
      <w:pPr>
        <w:numPr>
          <w:ilvl w:val="0"/>
          <w:numId w:val="29"/>
        </w:numPr>
        <w:tabs>
          <w:tab w:val="left" w:pos="720"/>
        </w:tabs>
        <w:spacing w:after="160"/>
        <w:ind w:left="1440"/>
      </w:pPr>
      <w:r w:rsidRPr="00A24E14">
        <w:rPr>
          <w:rFonts w:ascii="Calibri" w:hAnsi="Calibri" w:cs="Calibri"/>
          <w:b/>
          <w:bCs/>
          <w:color w:val="000000"/>
          <w:sz w:val="22"/>
          <w:szCs w:val="22"/>
        </w:rPr>
        <w:t>C</w:t>
      </w:r>
      <w:r w:rsidRPr="00A24E14">
        <w:rPr>
          <w:rFonts w:ascii="Calibri" w:hAnsi="Calibri" w:cs="Calibri"/>
          <w:color w:val="000000"/>
          <w:sz w:val="22"/>
          <w:szCs w:val="22"/>
        </w:rPr>
        <w:t>: (dobry) - solidna praca, z zauważalnymi błędami.</w:t>
      </w:r>
    </w:p>
    <w:p w14:paraId="11B78735" w14:textId="77777777" w:rsidR="00A24E14" w:rsidRPr="00A24E14" w:rsidRDefault="00A24E14" w:rsidP="00A24E14">
      <w:pPr>
        <w:numPr>
          <w:ilvl w:val="0"/>
          <w:numId w:val="29"/>
        </w:numPr>
        <w:tabs>
          <w:tab w:val="left" w:pos="720"/>
        </w:tabs>
        <w:spacing w:after="160"/>
        <w:ind w:left="1440"/>
      </w:pPr>
      <w:r w:rsidRPr="00A24E14">
        <w:rPr>
          <w:rFonts w:ascii="Calibri" w:hAnsi="Calibri" w:cs="Calibri"/>
          <w:b/>
          <w:bCs/>
          <w:color w:val="000000"/>
          <w:sz w:val="22"/>
          <w:szCs w:val="22"/>
        </w:rPr>
        <w:t>D</w:t>
      </w:r>
      <w:r w:rsidRPr="00A24E14">
        <w:rPr>
          <w:rFonts w:ascii="Calibri" w:hAnsi="Calibri" w:cs="Calibri"/>
          <w:color w:val="000000"/>
          <w:sz w:val="22"/>
          <w:szCs w:val="22"/>
        </w:rPr>
        <w:t>: (zadowalający) - wystarczający, ale z widocznymi brakami.</w:t>
      </w:r>
    </w:p>
    <w:p w14:paraId="48CAAD68" w14:textId="77777777" w:rsidR="00A24E14" w:rsidRPr="00A24E14" w:rsidRDefault="00A24E14" w:rsidP="00A24E14">
      <w:pPr>
        <w:numPr>
          <w:ilvl w:val="0"/>
          <w:numId w:val="29"/>
        </w:numPr>
        <w:tabs>
          <w:tab w:val="left" w:pos="720"/>
        </w:tabs>
        <w:spacing w:after="160"/>
        <w:ind w:left="1440"/>
      </w:pPr>
      <w:r w:rsidRPr="00A24E14">
        <w:rPr>
          <w:rFonts w:ascii="Calibri" w:hAnsi="Calibri" w:cs="Calibri"/>
          <w:b/>
          <w:bCs/>
          <w:color w:val="000000"/>
          <w:sz w:val="22"/>
          <w:szCs w:val="22"/>
        </w:rPr>
        <w:t>E</w:t>
      </w:r>
      <w:r w:rsidRPr="00A24E14">
        <w:rPr>
          <w:rFonts w:ascii="Calibri" w:hAnsi="Calibri" w:cs="Calibri"/>
          <w:color w:val="000000"/>
          <w:sz w:val="22"/>
          <w:szCs w:val="22"/>
        </w:rPr>
        <w:t>: (dostateczny) - praca spełniająca minimalne kryteria.</w:t>
      </w:r>
    </w:p>
    <w:p w14:paraId="226B4E9E" w14:textId="77777777" w:rsidR="00A24E14" w:rsidRPr="00A24E14" w:rsidRDefault="00A24E14" w:rsidP="00A24E14">
      <w:pPr>
        <w:numPr>
          <w:ilvl w:val="0"/>
          <w:numId w:val="29"/>
        </w:numPr>
        <w:tabs>
          <w:tab w:val="left" w:pos="720"/>
        </w:tabs>
        <w:spacing w:after="160"/>
        <w:ind w:left="1440"/>
      </w:pPr>
      <w:r w:rsidRPr="00A24E14">
        <w:rPr>
          <w:rFonts w:ascii="Calibri" w:hAnsi="Calibri" w:cs="Calibri"/>
          <w:b/>
          <w:bCs/>
          <w:color w:val="000000"/>
          <w:sz w:val="22"/>
          <w:szCs w:val="22"/>
        </w:rPr>
        <w:t>FX</w:t>
      </w:r>
      <w:r w:rsidRPr="00A24E14">
        <w:rPr>
          <w:rFonts w:ascii="Calibri" w:hAnsi="Calibri" w:cs="Calibri"/>
          <w:color w:val="000000"/>
          <w:sz w:val="22"/>
          <w:szCs w:val="22"/>
        </w:rPr>
        <w:t>: (niedostateczny) - student musi uzupełnić braki, aby zaliczyć przedmiot.</w:t>
      </w:r>
    </w:p>
    <w:p w14:paraId="09B3C317" w14:textId="77777777" w:rsidR="00A24E14" w:rsidRPr="00A24E14" w:rsidRDefault="00A24E14" w:rsidP="00A24E14">
      <w:pPr>
        <w:numPr>
          <w:ilvl w:val="0"/>
          <w:numId w:val="29"/>
        </w:numPr>
        <w:tabs>
          <w:tab w:val="left" w:pos="720"/>
        </w:tabs>
        <w:spacing w:after="160"/>
        <w:ind w:left="1440"/>
      </w:pPr>
      <w:r w:rsidRPr="00A24E14">
        <w:rPr>
          <w:rFonts w:ascii="Calibri" w:hAnsi="Calibri" w:cs="Calibri"/>
          <w:b/>
          <w:bCs/>
          <w:color w:val="000000"/>
          <w:sz w:val="22"/>
          <w:szCs w:val="22"/>
        </w:rPr>
        <w:t>F</w:t>
      </w:r>
      <w:r w:rsidRPr="00A24E14">
        <w:rPr>
          <w:rFonts w:ascii="Calibri" w:hAnsi="Calibri" w:cs="Calibri"/>
          <w:color w:val="000000"/>
          <w:sz w:val="22"/>
          <w:szCs w:val="22"/>
        </w:rPr>
        <w:t>: (niedostateczny) - student musi powtórzyć cały kurs i zaliczyć go ponownie.</w:t>
      </w:r>
    </w:p>
    <w:p w14:paraId="50500BF7" w14:textId="77777777" w:rsidR="00A24E14" w:rsidRPr="00A24E14" w:rsidRDefault="00A24E14" w:rsidP="00A24E14">
      <w:pPr>
        <w:spacing w:after="160"/>
      </w:pPr>
      <w:r w:rsidRPr="00A24E14">
        <w:t> </w:t>
      </w:r>
    </w:p>
    <w:p w14:paraId="29E7EEEE" w14:textId="77777777" w:rsidR="00A24E14" w:rsidRPr="00A24E14" w:rsidRDefault="00A24E14" w:rsidP="00A24E14">
      <w:pPr>
        <w:spacing w:after="160"/>
      </w:pPr>
      <w:r w:rsidRPr="00A24E14">
        <w:t> </w:t>
      </w:r>
    </w:p>
    <w:p w14:paraId="669C32AB" w14:textId="77777777" w:rsidR="0015129F" w:rsidRPr="003F1F80" w:rsidRDefault="0015129F" w:rsidP="00A24E14">
      <w:pPr>
        <w:jc w:val="center"/>
        <w:rPr>
          <w:rFonts w:asciiTheme="minorHAnsi" w:hAnsiTheme="minorHAnsi" w:cstheme="minorHAnsi"/>
          <w:sz w:val="22"/>
          <w:szCs w:val="22"/>
        </w:rPr>
      </w:pPr>
    </w:p>
    <w:sectPr w:rsidR="0015129F" w:rsidRPr="003F1F80" w:rsidSect="000613D8">
      <w:headerReference w:type="default" r:id="rId9"/>
      <w:footerReference w:type="default" r:id="rId10"/>
      <w:headerReference w:type="first" r:id="rId11"/>
      <w:footerReference w:type="first" r:id="rId12"/>
      <w:pgSz w:w="11906" w:h="16838"/>
      <w:pgMar w:top="2410" w:right="849" w:bottom="1134" w:left="2977" w:header="283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37BC" w14:textId="77777777" w:rsidR="00251BF8" w:rsidRDefault="00251BF8" w:rsidP="00A11C40">
      <w:r>
        <w:separator/>
      </w:r>
    </w:p>
  </w:endnote>
  <w:endnote w:type="continuationSeparator" w:id="0">
    <w:p w14:paraId="6BD901AC" w14:textId="77777777" w:rsidR="00251BF8" w:rsidRDefault="00251BF8" w:rsidP="00A1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4590" w14:textId="77777777" w:rsidR="00BA3DF8" w:rsidRDefault="00251BF8">
    <w:pPr>
      <w:pStyle w:val="Stopka"/>
    </w:pPr>
  </w:p>
  <w:p w14:paraId="5C936467" w14:textId="77777777" w:rsidR="00BA3DF8" w:rsidRDefault="00251BF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77CE" w14:textId="77777777" w:rsidR="00BA3DF8" w:rsidRDefault="00251BF8">
    <w:pPr>
      <w:pStyle w:val="Stopka"/>
    </w:pPr>
  </w:p>
  <w:p w14:paraId="40300283" w14:textId="77777777" w:rsidR="00BA3DF8" w:rsidRDefault="00251B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15728" w14:textId="77777777" w:rsidR="00251BF8" w:rsidRDefault="00251BF8" w:rsidP="00A11C40">
      <w:r>
        <w:separator/>
      </w:r>
    </w:p>
  </w:footnote>
  <w:footnote w:type="continuationSeparator" w:id="0">
    <w:p w14:paraId="6A7FFEAE" w14:textId="77777777" w:rsidR="00251BF8" w:rsidRDefault="00251BF8" w:rsidP="00A11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1006" w14:textId="77777777" w:rsidR="00BA3DF8" w:rsidRDefault="002700CF">
    <w:pPr>
      <w:pStyle w:val="Nagwek"/>
    </w:pPr>
    <w:r>
      <w:rPr>
        <w:noProof/>
      </w:rPr>
      <w:drawing>
        <wp:anchor distT="0" distB="0" distL="114300" distR="114300" simplePos="0" relativeHeight="251660288" behindDoc="1" locked="0" layoutInCell="1" allowOverlap="1" wp14:anchorId="7C5F9804" wp14:editId="7A57BD32">
          <wp:simplePos x="0" y="0"/>
          <wp:positionH relativeFrom="page">
            <wp:posOffset>0</wp:posOffset>
          </wp:positionH>
          <wp:positionV relativeFrom="page">
            <wp:posOffset>0</wp:posOffset>
          </wp:positionV>
          <wp:extent cx="7533836" cy="10656734"/>
          <wp:effectExtent l="0" t="0" r="0" b="0"/>
          <wp:wrapNone/>
          <wp:docPr id="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3836" cy="1065673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8287" w14:textId="77777777" w:rsidR="00C85738" w:rsidRDefault="002700CF">
    <w:pPr>
      <w:pStyle w:val="Nagwek"/>
    </w:pPr>
    <w:r>
      <w:rPr>
        <w:noProof/>
      </w:rPr>
      <w:drawing>
        <wp:anchor distT="0" distB="0" distL="114300" distR="114300" simplePos="0" relativeHeight="251659264" behindDoc="1" locked="0" layoutInCell="1" allowOverlap="1" wp14:anchorId="13022F29" wp14:editId="55D80572">
          <wp:simplePos x="0" y="0"/>
          <wp:positionH relativeFrom="page">
            <wp:posOffset>759</wp:posOffset>
          </wp:positionH>
          <wp:positionV relativeFrom="page">
            <wp:posOffset>0</wp:posOffset>
          </wp:positionV>
          <wp:extent cx="7533834" cy="10656731"/>
          <wp:effectExtent l="0" t="0" r="0" b="0"/>
          <wp:wrapNone/>
          <wp:docPr id="3"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3834" cy="1065673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B0F"/>
    <w:multiLevelType w:val="hybridMultilevel"/>
    <w:tmpl w:val="E98C1DE8"/>
    <w:lvl w:ilvl="0" w:tplc="C1940032">
      <w:start w:val="1"/>
      <w:numFmt w:val="decimal"/>
      <w:lvlText w:val="%1."/>
      <w:lvlJc w:val="left"/>
      <w:pPr>
        <w:ind w:left="720" w:hanging="360"/>
      </w:pPr>
      <w:rPr>
        <w:rFonts w:ascii="Times New Roman" w:eastAsia="Times New Roman" w:hAnsi="Times New Roman" w:cs="Times New Roman"/>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77125F"/>
    <w:multiLevelType w:val="multilevel"/>
    <w:tmpl w:val="19EE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5625B"/>
    <w:multiLevelType w:val="multilevel"/>
    <w:tmpl w:val="EED0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E04CD"/>
    <w:multiLevelType w:val="multilevel"/>
    <w:tmpl w:val="C6F8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F5A4A"/>
    <w:multiLevelType w:val="multilevel"/>
    <w:tmpl w:val="21F6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9F4187"/>
    <w:multiLevelType w:val="hybridMultilevel"/>
    <w:tmpl w:val="490A8D60"/>
    <w:lvl w:ilvl="0" w:tplc="C1940032">
      <w:start w:val="1"/>
      <w:numFmt w:val="decimal"/>
      <w:lvlText w:val="%1."/>
      <w:lvlJc w:val="left"/>
      <w:pPr>
        <w:ind w:left="720" w:hanging="360"/>
      </w:pPr>
      <w:rPr>
        <w:rFonts w:ascii="Times New Roman" w:eastAsia="Times New Roman" w:hAnsi="Times New Roman" w:cs="Times New Roman"/>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E3A2374"/>
    <w:multiLevelType w:val="multilevel"/>
    <w:tmpl w:val="E6C0003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bullet"/>
      <w:lvlText w:val=""/>
      <w:lvlJc w:val="left"/>
      <w:pPr>
        <w:tabs>
          <w:tab w:val="num" w:pos="1080"/>
        </w:tabs>
        <w:ind w:left="1080" w:hanging="360"/>
      </w:pPr>
      <w:rPr>
        <w:rFonts w:ascii="Symbol" w:hAnsi="Symbol" w:hint="default"/>
      </w:r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7" w15:restartNumberingAfterBreak="0">
    <w:nsid w:val="32010087"/>
    <w:multiLevelType w:val="hybridMultilevel"/>
    <w:tmpl w:val="C7709620"/>
    <w:lvl w:ilvl="0" w:tplc="C1940032">
      <w:start w:val="1"/>
      <w:numFmt w:val="decimal"/>
      <w:lvlText w:val="%1."/>
      <w:lvlJc w:val="left"/>
      <w:pPr>
        <w:ind w:left="720" w:hanging="360"/>
      </w:pPr>
      <w:rPr>
        <w:rFonts w:ascii="Times New Roman" w:eastAsia="Times New Roman" w:hAnsi="Times New Roman" w:cs="Times New Roman"/>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6441201"/>
    <w:multiLevelType w:val="hybridMultilevel"/>
    <w:tmpl w:val="DB143B06"/>
    <w:lvl w:ilvl="0" w:tplc="C1940032">
      <w:start w:val="1"/>
      <w:numFmt w:val="decimal"/>
      <w:lvlText w:val="%1."/>
      <w:lvlJc w:val="left"/>
      <w:pPr>
        <w:ind w:left="720" w:hanging="360"/>
      </w:pPr>
      <w:rPr>
        <w:rFonts w:ascii="Times New Roman" w:eastAsia="Times New Roman" w:hAnsi="Times New Roman" w:cs="Times New Roman"/>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9D275B1"/>
    <w:multiLevelType w:val="multilevel"/>
    <w:tmpl w:val="C558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A956E6"/>
    <w:multiLevelType w:val="hybridMultilevel"/>
    <w:tmpl w:val="46E419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AE5A84"/>
    <w:multiLevelType w:val="multilevel"/>
    <w:tmpl w:val="6302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C06DAD"/>
    <w:multiLevelType w:val="multilevel"/>
    <w:tmpl w:val="C80887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3F6AC3"/>
    <w:multiLevelType w:val="hybridMultilevel"/>
    <w:tmpl w:val="20E66C46"/>
    <w:lvl w:ilvl="0" w:tplc="C1940032">
      <w:start w:val="1"/>
      <w:numFmt w:val="decimal"/>
      <w:lvlText w:val="%1."/>
      <w:lvlJc w:val="left"/>
      <w:pPr>
        <w:ind w:left="720" w:hanging="360"/>
      </w:pPr>
      <w:rPr>
        <w:rFonts w:ascii="Times New Roman" w:eastAsia="Times New Roman" w:hAnsi="Times New Roman" w:cs="Times New Roman"/>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9BB3C8B"/>
    <w:multiLevelType w:val="multilevel"/>
    <w:tmpl w:val="B132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E30A86"/>
    <w:multiLevelType w:val="multilevel"/>
    <w:tmpl w:val="DBC0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0E1C5C"/>
    <w:multiLevelType w:val="multilevel"/>
    <w:tmpl w:val="3782D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62053"/>
    <w:multiLevelType w:val="hybridMultilevel"/>
    <w:tmpl w:val="748692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9FD10F1"/>
    <w:multiLevelType w:val="multilevel"/>
    <w:tmpl w:val="E6C0003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bullet"/>
      <w:lvlText w:val=""/>
      <w:lvlJc w:val="left"/>
      <w:pPr>
        <w:tabs>
          <w:tab w:val="num" w:pos="1080"/>
        </w:tabs>
        <w:ind w:left="1080" w:hanging="360"/>
      </w:pPr>
      <w:rPr>
        <w:rFonts w:ascii="Symbol" w:hAnsi="Symbol" w:hint="default"/>
      </w:r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19" w15:restartNumberingAfterBreak="0">
    <w:nsid w:val="5BC671D7"/>
    <w:multiLevelType w:val="multilevel"/>
    <w:tmpl w:val="0BCA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090008"/>
    <w:multiLevelType w:val="hybridMultilevel"/>
    <w:tmpl w:val="7A06BFE8"/>
    <w:lvl w:ilvl="0" w:tplc="C1940032">
      <w:start w:val="1"/>
      <w:numFmt w:val="decimal"/>
      <w:lvlText w:val="%1."/>
      <w:lvlJc w:val="left"/>
      <w:pPr>
        <w:ind w:left="720" w:hanging="360"/>
      </w:pPr>
      <w:rPr>
        <w:rFonts w:ascii="Times New Roman" w:eastAsia="Times New Roman"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458481E"/>
    <w:multiLevelType w:val="hybridMultilevel"/>
    <w:tmpl w:val="770807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F0140FA"/>
    <w:multiLevelType w:val="multilevel"/>
    <w:tmpl w:val="EF624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E6678B"/>
    <w:multiLevelType w:val="multilevel"/>
    <w:tmpl w:val="1B7C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5318E4"/>
    <w:multiLevelType w:val="multilevel"/>
    <w:tmpl w:val="4078A1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AD7F44"/>
    <w:multiLevelType w:val="multilevel"/>
    <w:tmpl w:val="48E28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D91AC7"/>
    <w:multiLevelType w:val="hybridMultilevel"/>
    <w:tmpl w:val="0ACED9E8"/>
    <w:lvl w:ilvl="0" w:tplc="04150019">
      <w:start w:val="1"/>
      <w:numFmt w:val="lowerLetter"/>
      <w:lvlText w:val="%1."/>
      <w:lvlJc w:val="left"/>
      <w:pPr>
        <w:ind w:left="1434" w:hanging="360"/>
      </w:p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num w:numId="1">
    <w:abstractNumId w:val="20"/>
  </w:num>
  <w:num w:numId="2">
    <w:abstractNumId w:val="0"/>
  </w:num>
  <w:num w:numId="3">
    <w:abstractNumId w:val="13"/>
  </w:num>
  <w:num w:numId="4">
    <w:abstractNumId w:val="7"/>
  </w:num>
  <w:num w:numId="5">
    <w:abstractNumId w:val="5"/>
  </w:num>
  <w:num w:numId="6">
    <w:abstractNumId w:val="8"/>
  </w:num>
  <w:num w:numId="7">
    <w:abstractNumId w:val="10"/>
  </w:num>
  <w:num w:numId="8">
    <w:abstractNumId w:val="17"/>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lvlOverride w:ilvl="2"/>
    <w:lvlOverride w:ilvl="3"/>
    <w:lvlOverride w:ilvl="4"/>
    <w:lvlOverride w:ilvl="5"/>
    <w:lvlOverride w:ilvl="6"/>
    <w:lvlOverride w:ilvl="7"/>
    <w:lvlOverride w:ilvl="8"/>
  </w:num>
  <w:num w:numId="11">
    <w:abstractNumId w:val="25"/>
  </w:num>
  <w:num w:numId="12">
    <w:abstractNumId w:val="1"/>
  </w:num>
  <w:num w:numId="13">
    <w:abstractNumId w:val="23"/>
  </w:num>
  <w:num w:numId="14">
    <w:abstractNumId w:val="2"/>
  </w:num>
  <w:num w:numId="15">
    <w:abstractNumId w:val="3"/>
  </w:num>
  <w:num w:numId="16">
    <w:abstractNumId w:val="11"/>
  </w:num>
  <w:num w:numId="17">
    <w:abstractNumId w:val="14"/>
  </w:num>
  <w:num w:numId="18">
    <w:abstractNumId w:val="16"/>
  </w:num>
  <w:num w:numId="19">
    <w:abstractNumId w:val="15"/>
  </w:num>
  <w:num w:numId="20">
    <w:abstractNumId w:val="22"/>
  </w:num>
  <w:num w:numId="21">
    <w:abstractNumId w:val="6"/>
  </w:num>
  <w:num w:numId="22">
    <w:abstractNumId w:val="9"/>
  </w:num>
  <w:num w:numId="23">
    <w:abstractNumId w:val="24"/>
    <w:lvlOverride w:ilvl="0">
      <w:lvl w:ilvl="0">
        <w:numFmt w:val="decimal"/>
        <w:lvlText w:val="%1."/>
        <w:lvlJc w:val="left"/>
      </w:lvl>
    </w:lvlOverride>
  </w:num>
  <w:num w:numId="24">
    <w:abstractNumId w:val="24"/>
    <w:lvlOverride w:ilvl="0">
      <w:lvl w:ilvl="0">
        <w:numFmt w:val="decimal"/>
        <w:lvlText w:val="%1."/>
        <w:lvlJc w:val="left"/>
      </w:lvl>
    </w:lvlOverride>
  </w:num>
  <w:num w:numId="25">
    <w:abstractNumId w:val="24"/>
    <w:lvlOverride w:ilvl="0">
      <w:lvl w:ilvl="0">
        <w:numFmt w:val="decimal"/>
        <w:lvlText w:val="%1."/>
        <w:lvlJc w:val="left"/>
      </w:lvl>
    </w:lvlOverride>
  </w:num>
  <w:num w:numId="26">
    <w:abstractNumId w:val="4"/>
  </w:num>
  <w:num w:numId="27">
    <w:abstractNumId w:val="12"/>
    <w:lvlOverride w:ilvl="0">
      <w:lvl w:ilvl="0">
        <w:numFmt w:val="decimal"/>
        <w:lvlText w:val="%1."/>
        <w:lvlJc w:val="left"/>
      </w:lvl>
    </w:lvlOverride>
  </w:num>
  <w:num w:numId="28">
    <w:abstractNumId w:val="12"/>
    <w:lvlOverride w:ilvl="0">
      <w:lvl w:ilvl="0">
        <w:numFmt w:val="decimal"/>
        <w:lvlText w:val="%1."/>
        <w:lvlJc w:val="left"/>
      </w:lvl>
    </w:lvlOverride>
  </w:num>
  <w:num w:numId="29">
    <w:abstractNumId w:val="19"/>
  </w:num>
  <w:num w:numId="30">
    <w:abstractNumId w:val="2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C0"/>
    <w:rsid w:val="00004370"/>
    <w:rsid w:val="00006678"/>
    <w:rsid w:val="0000704D"/>
    <w:rsid w:val="00011F08"/>
    <w:rsid w:val="00015F31"/>
    <w:rsid w:val="000373BF"/>
    <w:rsid w:val="000613D8"/>
    <w:rsid w:val="000A30C7"/>
    <w:rsid w:val="00122343"/>
    <w:rsid w:val="0014290C"/>
    <w:rsid w:val="00142EC0"/>
    <w:rsid w:val="0015129F"/>
    <w:rsid w:val="00162C34"/>
    <w:rsid w:val="00193517"/>
    <w:rsid w:val="001D731F"/>
    <w:rsid w:val="001F5584"/>
    <w:rsid w:val="00200C8B"/>
    <w:rsid w:val="00210876"/>
    <w:rsid w:val="00223993"/>
    <w:rsid w:val="00233490"/>
    <w:rsid w:val="00236467"/>
    <w:rsid w:val="00241DC5"/>
    <w:rsid w:val="00251BF8"/>
    <w:rsid w:val="002700CF"/>
    <w:rsid w:val="00281CF0"/>
    <w:rsid w:val="0029733E"/>
    <w:rsid w:val="002B4C41"/>
    <w:rsid w:val="002C5AB0"/>
    <w:rsid w:val="002C736A"/>
    <w:rsid w:val="002F1E7B"/>
    <w:rsid w:val="002F371D"/>
    <w:rsid w:val="00310444"/>
    <w:rsid w:val="0032404E"/>
    <w:rsid w:val="003464A4"/>
    <w:rsid w:val="003565C0"/>
    <w:rsid w:val="00365DE5"/>
    <w:rsid w:val="00365EC2"/>
    <w:rsid w:val="00366D9F"/>
    <w:rsid w:val="00374D8F"/>
    <w:rsid w:val="0038109B"/>
    <w:rsid w:val="00381246"/>
    <w:rsid w:val="00387A68"/>
    <w:rsid w:val="003B6579"/>
    <w:rsid w:val="003C367D"/>
    <w:rsid w:val="003D14D9"/>
    <w:rsid w:val="003E26E1"/>
    <w:rsid w:val="003F1F80"/>
    <w:rsid w:val="00411E0C"/>
    <w:rsid w:val="004245F3"/>
    <w:rsid w:val="00461295"/>
    <w:rsid w:val="00467DEF"/>
    <w:rsid w:val="00473CA3"/>
    <w:rsid w:val="004B17E3"/>
    <w:rsid w:val="004B4136"/>
    <w:rsid w:val="004B4B41"/>
    <w:rsid w:val="004C4DDA"/>
    <w:rsid w:val="00504932"/>
    <w:rsid w:val="00517532"/>
    <w:rsid w:val="00525035"/>
    <w:rsid w:val="00526DBC"/>
    <w:rsid w:val="00537171"/>
    <w:rsid w:val="0056447D"/>
    <w:rsid w:val="00583261"/>
    <w:rsid w:val="006009A0"/>
    <w:rsid w:val="00605560"/>
    <w:rsid w:val="00622A56"/>
    <w:rsid w:val="00635990"/>
    <w:rsid w:val="00670129"/>
    <w:rsid w:val="00670CCE"/>
    <w:rsid w:val="006746D1"/>
    <w:rsid w:val="00682856"/>
    <w:rsid w:val="0069197C"/>
    <w:rsid w:val="006A314C"/>
    <w:rsid w:val="006C6EC5"/>
    <w:rsid w:val="007276EE"/>
    <w:rsid w:val="0073046F"/>
    <w:rsid w:val="00734311"/>
    <w:rsid w:val="0073566C"/>
    <w:rsid w:val="007643DC"/>
    <w:rsid w:val="00787A69"/>
    <w:rsid w:val="007B5BA9"/>
    <w:rsid w:val="007C7626"/>
    <w:rsid w:val="007E3455"/>
    <w:rsid w:val="0081427E"/>
    <w:rsid w:val="00853CB1"/>
    <w:rsid w:val="008C6CD6"/>
    <w:rsid w:val="008F4DE6"/>
    <w:rsid w:val="00920A44"/>
    <w:rsid w:val="00926AD1"/>
    <w:rsid w:val="009403A7"/>
    <w:rsid w:val="00961C8F"/>
    <w:rsid w:val="00964440"/>
    <w:rsid w:val="00972F58"/>
    <w:rsid w:val="009974CC"/>
    <w:rsid w:val="009B233B"/>
    <w:rsid w:val="009B2903"/>
    <w:rsid w:val="009B404D"/>
    <w:rsid w:val="009C210E"/>
    <w:rsid w:val="009C45D1"/>
    <w:rsid w:val="009D587D"/>
    <w:rsid w:val="00A11C40"/>
    <w:rsid w:val="00A24E14"/>
    <w:rsid w:val="00A31C53"/>
    <w:rsid w:val="00A402BD"/>
    <w:rsid w:val="00A44030"/>
    <w:rsid w:val="00A62AFB"/>
    <w:rsid w:val="00A73370"/>
    <w:rsid w:val="00A745A1"/>
    <w:rsid w:val="00A7703E"/>
    <w:rsid w:val="00A9057F"/>
    <w:rsid w:val="00A950F4"/>
    <w:rsid w:val="00AA4A5F"/>
    <w:rsid w:val="00AC4890"/>
    <w:rsid w:val="00AF6EA2"/>
    <w:rsid w:val="00AF7937"/>
    <w:rsid w:val="00B536BF"/>
    <w:rsid w:val="00B5712D"/>
    <w:rsid w:val="00B665A4"/>
    <w:rsid w:val="00B74C5F"/>
    <w:rsid w:val="00B773BF"/>
    <w:rsid w:val="00B920F1"/>
    <w:rsid w:val="00BE2973"/>
    <w:rsid w:val="00BE35BE"/>
    <w:rsid w:val="00BF0E2A"/>
    <w:rsid w:val="00C06BF4"/>
    <w:rsid w:val="00C1186F"/>
    <w:rsid w:val="00C376A2"/>
    <w:rsid w:val="00C421BA"/>
    <w:rsid w:val="00C44265"/>
    <w:rsid w:val="00C4682B"/>
    <w:rsid w:val="00C73527"/>
    <w:rsid w:val="00C92EBD"/>
    <w:rsid w:val="00C9499C"/>
    <w:rsid w:val="00C967E0"/>
    <w:rsid w:val="00CA4B42"/>
    <w:rsid w:val="00CB0F6D"/>
    <w:rsid w:val="00CB5F17"/>
    <w:rsid w:val="00CE1FF2"/>
    <w:rsid w:val="00D04A94"/>
    <w:rsid w:val="00D15002"/>
    <w:rsid w:val="00D2605E"/>
    <w:rsid w:val="00D359B7"/>
    <w:rsid w:val="00D373BA"/>
    <w:rsid w:val="00D61984"/>
    <w:rsid w:val="00DA5834"/>
    <w:rsid w:val="00DA6D24"/>
    <w:rsid w:val="00DA78FB"/>
    <w:rsid w:val="00DE749D"/>
    <w:rsid w:val="00DF3F73"/>
    <w:rsid w:val="00E25F36"/>
    <w:rsid w:val="00E2775B"/>
    <w:rsid w:val="00E30C6A"/>
    <w:rsid w:val="00E33410"/>
    <w:rsid w:val="00E338BD"/>
    <w:rsid w:val="00E418D4"/>
    <w:rsid w:val="00E64743"/>
    <w:rsid w:val="00E753EE"/>
    <w:rsid w:val="00E76665"/>
    <w:rsid w:val="00E97ABC"/>
    <w:rsid w:val="00EB232B"/>
    <w:rsid w:val="00ED1283"/>
    <w:rsid w:val="00ED72CF"/>
    <w:rsid w:val="00EF1688"/>
    <w:rsid w:val="00EF4544"/>
    <w:rsid w:val="00EF5A89"/>
    <w:rsid w:val="00F138A6"/>
    <w:rsid w:val="00F60E8C"/>
    <w:rsid w:val="00F7066F"/>
    <w:rsid w:val="00F74FFE"/>
    <w:rsid w:val="00F96D89"/>
    <w:rsid w:val="00FA33C7"/>
    <w:rsid w:val="00FE1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A6F6B"/>
  <w15:docId w15:val="{8511C502-E3FC-4348-9C28-61618561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E3455"/>
    <w:rPr>
      <w:rFonts w:ascii="Times New Roman" w:eastAsia="Times New Roman" w:hAnsi="Times New Roman"/>
      <w:sz w:val="24"/>
      <w:szCs w:val="24"/>
    </w:rPr>
  </w:style>
  <w:style w:type="paragraph" w:styleId="Nagwek1">
    <w:name w:val="heading 1"/>
    <w:aliases w:val="tekst PWr"/>
    <w:basedOn w:val="Normalny"/>
    <w:next w:val="Normalny"/>
    <w:link w:val="Nagwek1Znak"/>
    <w:uiPriority w:val="9"/>
    <w:qFormat/>
    <w:rsid w:val="00281CF0"/>
    <w:pPr>
      <w:spacing w:before="240" w:line="360" w:lineRule="auto"/>
      <w:ind w:firstLine="709"/>
      <w:jc w:val="both"/>
      <w:outlineLvl w:val="0"/>
    </w:pPr>
    <w:rPr>
      <w:rFonts w:asciiTheme="minorHAnsi" w:hAnsiTheme="minorHAnsi"/>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11C40"/>
    <w:pPr>
      <w:tabs>
        <w:tab w:val="center" w:pos="4536"/>
        <w:tab w:val="right" w:pos="9072"/>
      </w:tabs>
    </w:pPr>
    <w:rPr>
      <w:rFonts w:ascii="Calibri" w:hAnsi="Calibri"/>
      <w:sz w:val="22"/>
      <w:szCs w:val="22"/>
    </w:rPr>
  </w:style>
  <w:style w:type="character" w:customStyle="1" w:styleId="NagwekZnak">
    <w:name w:val="Nagłówek Znak"/>
    <w:link w:val="Nagwek"/>
    <w:uiPriority w:val="99"/>
    <w:rsid w:val="00A11C40"/>
    <w:rPr>
      <w:rFonts w:eastAsia="Times New Roman"/>
      <w:lang w:eastAsia="pl-PL"/>
    </w:rPr>
  </w:style>
  <w:style w:type="paragraph" w:styleId="Stopka">
    <w:name w:val="footer"/>
    <w:basedOn w:val="Normalny"/>
    <w:link w:val="StopkaZnak"/>
    <w:uiPriority w:val="99"/>
    <w:unhideWhenUsed/>
    <w:rsid w:val="00A11C40"/>
    <w:pPr>
      <w:tabs>
        <w:tab w:val="center" w:pos="4536"/>
        <w:tab w:val="right" w:pos="9072"/>
      </w:tabs>
    </w:pPr>
    <w:rPr>
      <w:rFonts w:ascii="Calibri" w:hAnsi="Calibri"/>
      <w:sz w:val="22"/>
      <w:szCs w:val="22"/>
    </w:rPr>
  </w:style>
  <w:style w:type="character" w:customStyle="1" w:styleId="StopkaZnak">
    <w:name w:val="Stopka Znak"/>
    <w:link w:val="Stopka"/>
    <w:uiPriority w:val="99"/>
    <w:rsid w:val="00A11C40"/>
    <w:rPr>
      <w:rFonts w:eastAsia="Times New Roman"/>
      <w:lang w:eastAsia="pl-PL"/>
    </w:rPr>
  </w:style>
  <w:style w:type="paragraph" w:styleId="Tekstdymka">
    <w:name w:val="Balloon Text"/>
    <w:basedOn w:val="Normalny"/>
    <w:link w:val="TekstdymkaZnak"/>
    <w:uiPriority w:val="99"/>
    <w:semiHidden/>
    <w:unhideWhenUsed/>
    <w:rsid w:val="0038109B"/>
    <w:rPr>
      <w:rFonts w:ascii="Tahoma" w:hAnsi="Tahoma" w:cs="Tahoma"/>
      <w:sz w:val="16"/>
      <w:szCs w:val="16"/>
    </w:rPr>
  </w:style>
  <w:style w:type="character" w:customStyle="1" w:styleId="TekstdymkaZnak">
    <w:name w:val="Tekst dymka Znak"/>
    <w:link w:val="Tekstdymka"/>
    <w:uiPriority w:val="99"/>
    <w:semiHidden/>
    <w:rsid w:val="0038109B"/>
    <w:rPr>
      <w:rFonts w:ascii="Tahoma" w:eastAsia="Times New Roman" w:hAnsi="Tahoma" w:cs="Tahoma"/>
      <w:sz w:val="16"/>
      <w:szCs w:val="16"/>
      <w:lang w:eastAsia="pl-PL"/>
    </w:rPr>
  </w:style>
  <w:style w:type="paragraph" w:customStyle="1" w:styleId="Podstawowyakapitowy">
    <w:name w:val="[Podstawowy akapitowy]"/>
    <w:basedOn w:val="Normalny"/>
    <w:uiPriority w:val="99"/>
    <w:rsid w:val="009B2903"/>
    <w:pPr>
      <w:autoSpaceDE w:val="0"/>
      <w:autoSpaceDN w:val="0"/>
      <w:adjustRightInd w:val="0"/>
      <w:spacing w:line="288" w:lineRule="auto"/>
      <w:textAlignment w:val="center"/>
    </w:pPr>
    <w:rPr>
      <w:rFonts w:ascii="Minion Pro" w:eastAsia="Calibri" w:hAnsi="Minion Pro" w:cs="Minion Pro"/>
      <w:color w:val="000000"/>
    </w:rPr>
  </w:style>
  <w:style w:type="paragraph" w:styleId="Bezodstpw">
    <w:name w:val="No Spacing"/>
    <w:aliases w:val="nagłówek PWr"/>
    <w:basedOn w:val="Normalny"/>
    <w:link w:val="BezodstpwZnak"/>
    <w:uiPriority w:val="1"/>
    <w:qFormat/>
    <w:rsid w:val="00281CF0"/>
    <w:pPr>
      <w:ind w:left="4247"/>
      <w:jc w:val="right"/>
    </w:pPr>
    <w:rPr>
      <w:rFonts w:asciiTheme="minorHAnsi" w:hAnsiTheme="minorHAnsi"/>
      <w:bCs/>
    </w:rPr>
  </w:style>
  <w:style w:type="character" w:customStyle="1" w:styleId="BezodstpwZnak">
    <w:name w:val="Bez odstępów Znak"/>
    <w:aliases w:val="nagłówek PWr Znak"/>
    <w:basedOn w:val="Domylnaczcionkaakapitu"/>
    <w:link w:val="Bezodstpw"/>
    <w:uiPriority w:val="1"/>
    <w:rsid w:val="00281CF0"/>
    <w:rPr>
      <w:rFonts w:asciiTheme="minorHAnsi" w:eastAsia="Times New Roman" w:hAnsiTheme="minorHAnsi"/>
      <w:bCs/>
      <w:sz w:val="24"/>
      <w:szCs w:val="24"/>
    </w:rPr>
  </w:style>
  <w:style w:type="character" w:customStyle="1" w:styleId="Nagwek1Znak">
    <w:name w:val="Nagłówek 1 Znak"/>
    <w:aliases w:val="tekst PWr Znak"/>
    <w:basedOn w:val="Domylnaczcionkaakapitu"/>
    <w:link w:val="Nagwek1"/>
    <w:uiPriority w:val="9"/>
    <w:rsid w:val="00281CF0"/>
    <w:rPr>
      <w:rFonts w:asciiTheme="minorHAnsi" w:eastAsia="Times New Roman" w:hAnsiTheme="minorHAnsi"/>
      <w:bCs/>
    </w:rPr>
  </w:style>
  <w:style w:type="paragraph" w:styleId="Tytu">
    <w:name w:val="Title"/>
    <w:aliases w:val="podpis Pwr"/>
    <w:basedOn w:val="Normalny"/>
    <w:next w:val="Normalny"/>
    <w:link w:val="TytuZnak"/>
    <w:uiPriority w:val="10"/>
    <w:qFormat/>
    <w:rsid w:val="00281CF0"/>
    <w:pPr>
      <w:tabs>
        <w:tab w:val="left" w:pos="5103"/>
      </w:tabs>
      <w:spacing w:line="360" w:lineRule="auto"/>
      <w:jc w:val="right"/>
    </w:pPr>
    <w:rPr>
      <w:rFonts w:asciiTheme="minorHAnsi" w:hAnsiTheme="minorHAnsi"/>
      <w:bCs/>
      <w:sz w:val="20"/>
      <w:szCs w:val="20"/>
    </w:rPr>
  </w:style>
  <w:style w:type="character" w:customStyle="1" w:styleId="TytuZnak">
    <w:name w:val="Tytuł Znak"/>
    <w:aliases w:val="podpis Pwr Znak"/>
    <w:basedOn w:val="Domylnaczcionkaakapitu"/>
    <w:link w:val="Tytu"/>
    <w:uiPriority w:val="10"/>
    <w:rsid w:val="00281CF0"/>
    <w:rPr>
      <w:rFonts w:asciiTheme="minorHAnsi" w:eastAsia="Times New Roman" w:hAnsiTheme="minorHAnsi"/>
      <w:bCs/>
    </w:rPr>
  </w:style>
  <w:style w:type="paragraph" w:styleId="Podtytu">
    <w:name w:val="Subtitle"/>
    <w:aliases w:val="numer PWr"/>
    <w:basedOn w:val="Normalny"/>
    <w:next w:val="Normalny"/>
    <w:link w:val="PodtytuZnak"/>
    <w:uiPriority w:val="11"/>
    <w:qFormat/>
    <w:rsid w:val="00233490"/>
    <w:pPr>
      <w:spacing w:line="276" w:lineRule="auto"/>
      <w:jc w:val="right"/>
    </w:pPr>
    <w:rPr>
      <w:rFonts w:asciiTheme="minorHAnsi" w:hAnsiTheme="minorHAnsi"/>
      <w:bCs/>
      <w:sz w:val="20"/>
      <w:szCs w:val="20"/>
    </w:rPr>
  </w:style>
  <w:style w:type="character" w:customStyle="1" w:styleId="PodtytuZnak">
    <w:name w:val="Podtytuł Znak"/>
    <w:aliases w:val="numer PWr Znak"/>
    <w:basedOn w:val="Domylnaczcionkaakapitu"/>
    <w:link w:val="Podtytu"/>
    <w:uiPriority w:val="11"/>
    <w:rsid w:val="00233490"/>
    <w:rPr>
      <w:rFonts w:asciiTheme="minorHAnsi" w:eastAsia="Times New Roman" w:hAnsiTheme="minorHAnsi"/>
      <w:bCs/>
    </w:rPr>
  </w:style>
  <w:style w:type="paragraph" w:styleId="NormalnyWeb">
    <w:name w:val="Normal (Web)"/>
    <w:basedOn w:val="Normalny"/>
    <w:uiPriority w:val="99"/>
    <w:unhideWhenUsed/>
    <w:rsid w:val="007E3455"/>
    <w:pPr>
      <w:spacing w:before="100" w:beforeAutospacing="1" w:after="100" w:afterAutospacing="1"/>
    </w:pPr>
  </w:style>
  <w:style w:type="paragraph" w:styleId="Akapitzlist">
    <w:name w:val="List Paragraph"/>
    <w:basedOn w:val="Normalny"/>
    <w:uiPriority w:val="34"/>
    <w:qFormat/>
    <w:rsid w:val="00D359B7"/>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paragraph" w:customStyle="1" w:styleId="docdata">
    <w:name w:val="docdata"/>
    <w:aliases w:val="docy,v5,1995,bqiaagaaeyqcaaagiaiaaamvbwaabt0haaaaaaaaaaaaaaaaaaaaaaaaaaaaaaaaaaaaaaaaaaaaaaaaaaaaaaaaaaaaaaaaaaaaaaaaaaaaaaaaaaaaaaaaaaaaaaaaaaaaaaaaaaaaaaaaaaaaaaaaaaaaaaaaaaaaaaaaaaaaaaaaaaaaaaaaaaaaaaaaaaaaaaaaaaaaaaaaaaaaaaaaaaaaaaaaaaaaaaaa"/>
    <w:basedOn w:val="Normalny"/>
    <w:rsid w:val="00A24E14"/>
    <w:pPr>
      <w:spacing w:before="100" w:beforeAutospacing="1" w:after="100" w:afterAutospacing="1"/>
    </w:pPr>
  </w:style>
  <w:style w:type="character" w:styleId="Hipercze">
    <w:name w:val="Hyperlink"/>
    <w:basedOn w:val="Domylnaczcionkaakapitu"/>
    <w:uiPriority w:val="99"/>
    <w:semiHidden/>
    <w:unhideWhenUsed/>
    <w:rsid w:val="00A24E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962272">
      <w:bodyDiv w:val="1"/>
      <w:marLeft w:val="0"/>
      <w:marRight w:val="0"/>
      <w:marTop w:val="0"/>
      <w:marBottom w:val="0"/>
      <w:divBdr>
        <w:top w:val="none" w:sz="0" w:space="0" w:color="auto"/>
        <w:left w:val="none" w:sz="0" w:space="0" w:color="auto"/>
        <w:bottom w:val="none" w:sz="0" w:space="0" w:color="auto"/>
        <w:right w:val="none" w:sz="0" w:space="0" w:color="auto"/>
      </w:divBdr>
      <w:divsChild>
        <w:div w:id="826895522">
          <w:marLeft w:val="0"/>
          <w:marRight w:val="0"/>
          <w:marTop w:val="0"/>
          <w:marBottom w:val="0"/>
          <w:divBdr>
            <w:top w:val="none" w:sz="0" w:space="0" w:color="auto"/>
            <w:left w:val="none" w:sz="0" w:space="0" w:color="auto"/>
            <w:bottom w:val="none" w:sz="0" w:space="0" w:color="auto"/>
            <w:right w:val="none" w:sz="0" w:space="0" w:color="auto"/>
          </w:divBdr>
          <w:divsChild>
            <w:div w:id="1806503137">
              <w:marLeft w:val="0"/>
              <w:marRight w:val="0"/>
              <w:marTop w:val="0"/>
              <w:marBottom w:val="0"/>
              <w:divBdr>
                <w:top w:val="none" w:sz="0" w:space="0" w:color="auto"/>
                <w:left w:val="none" w:sz="0" w:space="0" w:color="auto"/>
                <w:bottom w:val="none" w:sz="0" w:space="0" w:color="auto"/>
                <w:right w:val="none" w:sz="0" w:space="0" w:color="auto"/>
              </w:divBdr>
              <w:divsChild>
                <w:div w:id="897202536">
                  <w:marLeft w:val="0"/>
                  <w:marRight w:val="0"/>
                  <w:marTop w:val="120"/>
                  <w:marBottom w:val="0"/>
                  <w:divBdr>
                    <w:top w:val="none" w:sz="0" w:space="0" w:color="auto"/>
                    <w:left w:val="none" w:sz="0" w:space="0" w:color="auto"/>
                    <w:bottom w:val="none" w:sz="0" w:space="0" w:color="auto"/>
                    <w:right w:val="none" w:sz="0" w:space="0" w:color="auto"/>
                  </w:divBdr>
                  <w:divsChild>
                    <w:div w:id="646711468">
                      <w:marLeft w:val="0"/>
                      <w:marRight w:val="0"/>
                      <w:marTop w:val="0"/>
                      <w:marBottom w:val="0"/>
                      <w:divBdr>
                        <w:top w:val="none" w:sz="0" w:space="0" w:color="auto"/>
                        <w:left w:val="none" w:sz="0" w:space="0" w:color="auto"/>
                        <w:bottom w:val="none" w:sz="0" w:space="0" w:color="auto"/>
                        <w:right w:val="none" w:sz="0" w:space="0" w:color="auto"/>
                      </w:divBdr>
                      <w:divsChild>
                        <w:div w:id="1754930322">
                          <w:marLeft w:val="0"/>
                          <w:marRight w:val="0"/>
                          <w:marTop w:val="0"/>
                          <w:marBottom w:val="0"/>
                          <w:divBdr>
                            <w:top w:val="none" w:sz="0" w:space="0" w:color="auto"/>
                            <w:left w:val="none" w:sz="0" w:space="0" w:color="auto"/>
                            <w:bottom w:val="none" w:sz="0" w:space="0" w:color="auto"/>
                            <w:right w:val="none" w:sz="0" w:space="0" w:color="auto"/>
                          </w:divBdr>
                          <w:divsChild>
                            <w:div w:id="738749208">
                              <w:marLeft w:val="0"/>
                              <w:marRight w:val="0"/>
                              <w:marTop w:val="0"/>
                              <w:marBottom w:val="0"/>
                              <w:divBdr>
                                <w:top w:val="none" w:sz="0" w:space="0" w:color="auto"/>
                                <w:left w:val="none" w:sz="0" w:space="0" w:color="auto"/>
                                <w:bottom w:val="none" w:sz="0" w:space="0" w:color="auto"/>
                                <w:right w:val="none" w:sz="0" w:space="0" w:color="auto"/>
                              </w:divBdr>
                            </w:div>
                            <w:div w:id="754742546">
                              <w:marLeft w:val="0"/>
                              <w:marRight w:val="0"/>
                              <w:marTop w:val="0"/>
                              <w:marBottom w:val="0"/>
                              <w:divBdr>
                                <w:top w:val="none" w:sz="0" w:space="0" w:color="auto"/>
                                <w:left w:val="none" w:sz="0" w:space="0" w:color="auto"/>
                                <w:bottom w:val="none" w:sz="0" w:space="0" w:color="auto"/>
                                <w:right w:val="none" w:sz="0" w:space="0" w:color="auto"/>
                              </w:divBdr>
                            </w:div>
                            <w:div w:id="1490637959">
                              <w:marLeft w:val="0"/>
                              <w:marRight w:val="0"/>
                              <w:marTop w:val="0"/>
                              <w:marBottom w:val="0"/>
                              <w:divBdr>
                                <w:top w:val="none" w:sz="0" w:space="0" w:color="auto"/>
                                <w:left w:val="none" w:sz="0" w:space="0" w:color="auto"/>
                                <w:bottom w:val="none" w:sz="0" w:space="0" w:color="auto"/>
                                <w:right w:val="none" w:sz="0" w:space="0" w:color="auto"/>
                              </w:divBdr>
                            </w:div>
                            <w:div w:id="1863012647">
                              <w:marLeft w:val="0"/>
                              <w:marRight w:val="0"/>
                              <w:marTop w:val="0"/>
                              <w:marBottom w:val="0"/>
                              <w:divBdr>
                                <w:top w:val="none" w:sz="0" w:space="0" w:color="auto"/>
                                <w:left w:val="none" w:sz="0" w:space="0" w:color="auto"/>
                                <w:bottom w:val="none" w:sz="0" w:space="0" w:color="auto"/>
                                <w:right w:val="none" w:sz="0" w:space="0" w:color="auto"/>
                              </w:divBdr>
                            </w:div>
                            <w:div w:id="15986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654389">
      <w:bodyDiv w:val="1"/>
      <w:marLeft w:val="0"/>
      <w:marRight w:val="0"/>
      <w:marTop w:val="0"/>
      <w:marBottom w:val="0"/>
      <w:divBdr>
        <w:top w:val="none" w:sz="0" w:space="0" w:color="auto"/>
        <w:left w:val="none" w:sz="0" w:space="0" w:color="auto"/>
        <w:bottom w:val="none" w:sz="0" w:space="0" w:color="auto"/>
        <w:right w:val="none" w:sz="0" w:space="0" w:color="auto"/>
      </w:divBdr>
    </w:div>
    <w:div w:id="15997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z.pwr.edu.pl/studenci/dokumenty-do-pobran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a\Desktop\szablon_listownik_W-8_Z_PL_2025.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51D5A-1205-4789-B9E4-809B69130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szablon_listownik_W-8_Z_PL_2025</Template>
  <TotalTime>37</TotalTime>
  <Pages>1</Pages>
  <Words>763</Words>
  <Characters>4581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Ossowska-Trubiłowicz</dc:creator>
  <cp:lastModifiedBy>Marta Ossowska-Trubilowicz</cp:lastModifiedBy>
  <cp:revision>6</cp:revision>
  <cp:lastPrinted>2025-07-16T05:50:00Z</cp:lastPrinted>
  <dcterms:created xsi:type="dcterms:W3CDTF">2025-07-15T11:09:00Z</dcterms:created>
  <dcterms:modified xsi:type="dcterms:W3CDTF">2025-07-16T05:50:00Z</dcterms:modified>
</cp:coreProperties>
</file>